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5F52AE" w14:paraId="248FDB47" w14:textId="77777777">
        <w:tc>
          <w:tcPr>
            <w:tcW w:w="3544" w:type="dxa"/>
          </w:tcPr>
          <w:p w14:paraId="190CDD38" w14:textId="12CDA92D" w:rsidR="005F52AE" w:rsidRDefault="005F52AE" w:rsidP="000575E4">
            <w:pPr>
              <w:pStyle w:val="InitialBodyCopy"/>
              <w:jc w:val="right"/>
            </w:pPr>
          </w:p>
        </w:tc>
        <w:tc>
          <w:tcPr>
            <w:tcW w:w="6095" w:type="dxa"/>
          </w:tcPr>
          <w:p w14:paraId="1D8F7BDF" w14:textId="77777777" w:rsidR="005F52AE" w:rsidRDefault="005F52AE">
            <w:pPr>
              <w:pStyle w:val="InitialCommName"/>
            </w:pPr>
            <w:bookmarkStart w:id="0" w:name="CommitteeName"/>
            <w:bookmarkEnd w:id="0"/>
            <w:r>
              <w:t>Joint Standing Committee on Net Zero Future</w:t>
            </w:r>
          </w:p>
        </w:tc>
      </w:tr>
      <w:tr w:rsidR="005F52AE" w14:paraId="7E668C59" w14:textId="77777777">
        <w:tc>
          <w:tcPr>
            <w:tcW w:w="3544" w:type="dxa"/>
          </w:tcPr>
          <w:p w14:paraId="3DDBEE49" w14:textId="77777777" w:rsidR="005F52AE" w:rsidRDefault="005F52AE">
            <w:pPr>
              <w:pStyle w:val="InitialBodyCopy"/>
            </w:pPr>
          </w:p>
        </w:tc>
        <w:tc>
          <w:tcPr>
            <w:tcW w:w="6095" w:type="dxa"/>
          </w:tcPr>
          <w:p w14:paraId="395148E7" w14:textId="77777777" w:rsidR="005F52AE" w:rsidRDefault="005F52AE">
            <w:pPr>
              <w:pStyle w:val="InitialReportTitle"/>
            </w:pPr>
            <w:bookmarkStart w:id="1" w:name="ReportTitle"/>
            <w:bookmarkEnd w:id="1"/>
            <w:r>
              <w:t>2024 Annual Report of the Net Zero Commission</w:t>
            </w:r>
          </w:p>
        </w:tc>
      </w:tr>
      <w:tr w:rsidR="005F52AE" w14:paraId="69B1A5BE" w14:textId="77777777">
        <w:tc>
          <w:tcPr>
            <w:tcW w:w="3544" w:type="dxa"/>
          </w:tcPr>
          <w:p w14:paraId="3F2328A5" w14:textId="77777777" w:rsidR="005F52AE" w:rsidRDefault="005F52AE">
            <w:pPr>
              <w:pStyle w:val="InitialBodyCopy"/>
            </w:pPr>
          </w:p>
        </w:tc>
        <w:tc>
          <w:tcPr>
            <w:tcW w:w="6095" w:type="dxa"/>
          </w:tcPr>
          <w:p w14:paraId="42DB1496" w14:textId="5ECC3941" w:rsidR="005F52AE" w:rsidRPr="005F52AE" w:rsidRDefault="005F52AE">
            <w:pPr>
              <w:pStyle w:val="InitialReportSubTitle"/>
              <w:rPr>
                <w:color w:val="FF0000"/>
              </w:rPr>
            </w:pPr>
            <w:bookmarkStart w:id="2" w:name="ReportSubTitle1"/>
            <w:bookmarkEnd w:id="2"/>
          </w:p>
        </w:tc>
      </w:tr>
      <w:tr w:rsidR="005F52AE" w14:paraId="7E12B18D" w14:textId="77777777">
        <w:tc>
          <w:tcPr>
            <w:tcW w:w="3544" w:type="dxa"/>
          </w:tcPr>
          <w:p w14:paraId="5F304F66" w14:textId="77777777" w:rsidR="005F52AE" w:rsidRDefault="005F52AE">
            <w:pPr>
              <w:pStyle w:val="InitialBodyCopy"/>
            </w:pPr>
          </w:p>
        </w:tc>
        <w:tc>
          <w:tcPr>
            <w:tcW w:w="6095" w:type="dxa"/>
          </w:tcPr>
          <w:p w14:paraId="5B62F30A" w14:textId="77777777" w:rsidR="005F52AE" w:rsidRDefault="005F52AE">
            <w:pPr>
              <w:pStyle w:val="InitialReportSubTitle"/>
            </w:pPr>
            <w:bookmarkStart w:id="3" w:name="ReportSubTitle2"/>
            <w:bookmarkEnd w:id="3"/>
          </w:p>
        </w:tc>
      </w:tr>
      <w:tr w:rsidR="005F52AE" w14:paraId="39A113F0" w14:textId="77777777">
        <w:tc>
          <w:tcPr>
            <w:tcW w:w="3544" w:type="dxa"/>
          </w:tcPr>
          <w:p w14:paraId="2E327625" w14:textId="77777777" w:rsidR="005F52AE" w:rsidRDefault="005F52AE">
            <w:pPr>
              <w:pStyle w:val="InitialBodyCopy"/>
            </w:pPr>
          </w:p>
        </w:tc>
        <w:tc>
          <w:tcPr>
            <w:tcW w:w="6095" w:type="dxa"/>
          </w:tcPr>
          <w:p w14:paraId="60EB3019" w14:textId="77777777" w:rsidR="005F52AE" w:rsidRPr="00C73172" w:rsidRDefault="005F52AE">
            <w:pPr>
              <w:pStyle w:val="CoverDate"/>
            </w:pPr>
            <w:bookmarkStart w:id="4" w:name="PrintInfo"/>
            <w:bookmarkEnd w:id="4"/>
            <w:r>
              <w:t xml:space="preserve">Published </w:t>
            </w:r>
            <w:r w:rsidRPr="00ED1ABF">
              <w:t>on 28 March 2025 according</w:t>
            </w:r>
            <w:r>
              <w:t xml:space="preserve"> to Standing Order 238</w:t>
            </w:r>
          </w:p>
        </w:tc>
      </w:tr>
    </w:tbl>
    <w:p w14:paraId="7386A464" w14:textId="77777777" w:rsidR="005F52AE" w:rsidRDefault="005F52AE">
      <w:pPr>
        <w:pStyle w:val="InitialBodyCopy"/>
      </w:pPr>
    </w:p>
    <w:p w14:paraId="0F5D981A" w14:textId="77777777" w:rsidR="005F52AE" w:rsidRDefault="005F52AE">
      <w:pPr>
        <w:pStyle w:val="InitialBodyCopy"/>
        <w:spacing w:before="120" w:after="400"/>
      </w:pPr>
      <w:r>
        <w:br w:type="page"/>
      </w:r>
    </w:p>
    <w:p w14:paraId="14A0D605" w14:textId="77777777" w:rsidR="005F52AE" w:rsidRDefault="005F52AE">
      <w:pPr>
        <w:pStyle w:val="InitialBodyCopy"/>
        <w:spacing w:after="0"/>
        <w:rPr>
          <w:b/>
          <w:bCs/>
        </w:rPr>
      </w:pPr>
      <w:bookmarkStart w:id="5" w:name="PublicationInfo"/>
      <w:bookmarkEnd w:id="5"/>
      <w:r>
        <w:rPr>
          <w:b/>
          <w:bCs/>
        </w:rPr>
        <w:lastRenderedPageBreak/>
        <w:t xml:space="preserve">New South Wales. Parliament. </w:t>
      </w:r>
      <w:r w:rsidRPr="00A63EA8">
        <w:rPr>
          <w:b/>
        </w:rPr>
        <w:t>Legislative Council</w:t>
      </w:r>
      <w:r>
        <w:rPr>
          <w:b/>
          <w:bCs/>
        </w:rPr>
        <w:t>. Joint Standing Committee on Net Zero Future. Report no. 1.</w:t>
      </w:r>
    </w:p>
    <w:p w14:paraId="793F369C" w14:textId="77777777" w:rsidR="005F52AE" w:rsidRDefault="005F52AE">
      <w:pPr>
        <w:pStyle w:val="InitialBodyCopy"/>
        <w:spacing w:after="0"/>
      </w:pPr>
    </w:p>
    <w:p w14:paraId="091EF2BD" w14:textId="77777777" w:rsidR="005F52AE" w:rsidRDefault="005F52AE">
      <w:pPr>
        <w:pStyle w:val="InitialBodyCopy"/>
        <w:spacing w:after="0"/>
      </w:pPr>
      <w:r w:rsidRPr="00F720C5">
        <w:t>2024 Report of the Net Zero Commission</w:t>
      </w:r>
    </w:p>
    <w:p w14:paraId="0352FE14" w14:textId="77777777" w:rsidR="005F52AE" w:rsidRDefault="005F52AE">
      <w:pPr>
        <w:pStyle w:val="InitialBodyCopy"/>
        <w:spacing w:after="0"/>
        <w:rPr>
          <w:b/>
          <w:bCs/>
        </w:rPr>
      </w:pPr>
    </w:p>
    <w:p w14:paraId="21E9E856" w14:textId="77777777" w:rsidR="005F52AE" w:rsidRDefault="005F52AE">
      <w:pPr>
        <w:pStyle w:val="InitialBodyCopy"/>
        <w:spacing w:after="0"/>
        <w:rPr>
          <w:i/>
          <w:iCs/>
          <w:color w:val="FF0000"/>
        </w:rPr>
      </w:pPr>
      <w:r>
        <w:t xml:space="preserve">"March 2025" </w:t>
      </w:r>
    </w:p>
    <w:p w14:paraId="2582DF06" w14:textId="77777777" w:rsidR="005F52AE" w:rsidRPr="00933B28" w:rsidRDefault="005F52AE">
      <w:pPr>
        <w:pStyle w:val="InitialBodyCopy"/>
        <w:spacing w:after="0"/>
        <w:rPr>
          <w:i/>
          <w:iCs/>
        </w:rPr>
      </w:pPr>
    </w:p>
    <w:p w14:paraId="28B2A101" w14:textId="77777777" w:rsidR="005F52AE" w:rsidRDefault="005F52AE">
      <w:pPr>
        <w:pStyle w:val="InitialBodyCopy"/>
        <w:spacing w:after="0"/>
        <w:rPr>
          <w:i/>
          <w:iCs/>
          <w:color w:val="FF0000"/>
        </w:rPr>
      </w:pPr>
      <w:r>
        <w:t xml:space="preserve">Chair: </w:t>
      </w:r>
      <w:r w:rsidRPr="00F720C5">
        <w:t>Hon Jeremy Buckingham MLC</w:t>
      </w:r>
      <w:r>
        <w:t xml:space="preserve"> </w:t>
      </w:r>
    </w:p>
    <w:p w14:paraId="67D76333" w14:textId="77777777" w:rsidR="005F52AE" w:rsidRDefault="005F52AE">
      <w:pPr>
        <w:pStyle w:val="InitialBodyCopy"/>
        <w:spacing w:after="0"/>
        <w:rPr>
          <w:i/>
          <w:iCs/>
          <w:color w:val="FF0000"/>
        </w:rPr>
      </w:pPr>
    </w:p>
    <w:p w14:paraId="4D059270" w14:textId="77777777" w:rsidR="005F52AE" w:rsidRDefault="005F52AE">
      <w:pPr>
        <w:pStyle w:val="InitialBodyCopy"/>
        <w:spacing w:after="0"/>
      </w:pPr>
    </w:p>
    <w:p w14:paraId="69CFB6A4" w14:textId="77777777" w:rsidR="005F52AE" w:rsidRDefault="005F52AE">
      <w:pPr>
        <w:pStyle w:val="InitialBodyCopy"/>
        <w:spacing w:after="0"/>
      </w:pPr>
    </w:p>
    <w:p w14:paraId="609E9741" w14:textId="77777777" w:rsidR="005F52AE" w:rsidRDefault="005F52AE">
      <w:pPr>
        <w:pStyle w:val="InitialBodyCopy"/>
      </w:pPr>
      <w:r>
        <w:rPr>
          <w:noProof/>
        </w:rPr>
        <w:drawing>
          <wp:inline distT="0" distB="0" distL="0" distR="0" wp14:anchorId="1063C69F" wp14:editId="7C5D51D8">
            <wp:extent cx="3086531" cy="866896"/>
            <wp:effectExtent l="0" t="0" r="0" b="9525"/>
            <wp:docPr id="1776369191" name="Picture 1" descr="P2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69191" name="Picture 1" descr="P28#yIS1"/>
                    <pic:cNvPicPr/>
                  </pic:nvPicPr>
                  <pic:blipFill>
                    <a:blip r:embed="rId12"/>
                    <a:stretch>
                      <a:fillRect/>
                    </a:stretch>
                  </pic:blipFill>
                  <pic:spPr>
                    <a:xfrm>
                      <a:off x="0" y="0"/>
                      <a:ext cx="3086531" cy="866896"/>
                    </a:xfrm>
                    <a:prstGeom prst="rect">
                      <a:avLst/>
                    </a:prstGeom>
                  </pic:spPr>
                </pic:pic>
              </a:graphicData>
            </a:graphic>
          </wp:inline>
        </w:drawing>
      </w:r>
    </w:p>
    <w:p w14:paraId="3F1D851C" w14:textId="77777777" w:rsidR="005F52AE" w:rsidRDefault="005F52AE">
      <w:pPr>
        <w:pStyle w:val="InitialBodyCopy"/>
        <w:spacing w:after="0"/>
        <w:rPr>
          <w:i/>
          <w:iCs/>
          <w:color w:val="FF0000"/>
        </w:rPr>
      </w:pPr>
    </w:p>
    <w:p w14:paraId="6A885D9C" w14:textId="77777777" w:rsidR="005F52AE" w:rsidRDefault="005F52AE">
      <w:pPr>
        <w:pStyle w:val="InitialBodyCopy"/>
        <w:spacing w:after="0"/>
        <w:rPr>
          <w:rFonts w:eastAsiaTheme="minorHAnsi"/>
          <w:b/>
          <w:bCs/>
          <w:i/>
          <w:iCs/>
          <w:color w:val="FF0000"/>
        </w:rPr>
      </w:pPr>
    </w:p>
    <w:p w14:paraId="0C7C0CBB" w14:textId="77777777" w:rsidR="005F52AE" w:rsidRDefault="005F52AE">
      <w:pPr>
        <w:pStyle w:val="InitialBodyCopy"/>
      </w:pPr>
      <w:r>
        <w:t xml:space="preserve">ISBN: </w:t>
      </w:r>
      <w:r w:rsidRPr="00F720C5">
        <w:t>978-1-923392-90-8</w:t>
      </w:r>
      <w:r>
        <w:t xml:space="preserve"> </w:t>
      </w:r>
    </w:p>
    <w:p w14:paraId="0E011A5C" w14:textId="77777777" w:rsidR="005F52AE" w:rsidRDefault="005F52AE">
      <w:pPr>
        <w:pStyle w:val="InitialTitle2"/>
      </w:pPr>
      <w:r>
        <w:br w:type="page"/>
      </w:r>
      <w:bookmarkStart w:id="6" w:name="CommitteeContact"/>
      <w:bookmarkStart w:id="7" w:name="AllContact"/>
      <w:bookmarkEnd w:id="6"/>
      <w:r>
        <w:lastRenderedPageBreak/>
        <w:t>Table of contents</w:t>
      </w:r>
    </w:p>
    <w:p w14:paraId="70EB580E" w14:textId="0896B2EE" w:rsidR="005907C8" w:rsidRDefault="005F52AE">
      <w:pPr>
        <w:pStyle w:val="TOC2"/>
        <w:rPr>
          <w:rFonts w:asciiTheme="minorHAnsi" w:eastAsiaTheme="minorEastAsia" w:hAnsiTheme="minorHAnsi" w:cstheme="minorBidi"/>
          <w:b w:val="0"/>
          <w:noProof/>
          <w:kern w:val="2"/>
          <w:szCs w:val="24"/>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5907C8">
        <w:rPr>
          <w:noProof/>
        </w:rPr>
        <w:t>Terms of reference</w:t>
      </w:r>
      <w:r w:rsidR="005907C8">
        <w:rPr>
          <w:noProof/>
        </w:rPr>
        <w:tab/>
      </w:r>
      <w:r w:rsidR="005907C8">
        <w:rPr>
          <w:noProof/>
        </w:rPr>
        <w:fldChar w:fldCharType="begin"/>
      </w:r>
      <w:r w:rsidR="005907C8">
        <w:rPr>
          <w:noProof/>
        </w:rPr>
        <w:instrText xml:space="preserve"> PAGEREF _Toc194052231 \h </w:instrText>
      </w:r>
      <w:r w:rsidR="005907C8">
        <w:rPr>
          <w:noProof/>
        </w:rPr>
      </w:r>
      <w:r w:rsidR="005907C8">
        <w:rPr>
          <w:noProof/>
        </w:rPr>
        <w:fldChar w:fldCharType="separate"/>
      </w:r>
      <w:r w:rsidR="00A358FD">
        <w:rPr>
          <w:noProof/>
        </w:rPr>
        <w:t>v</w:t>
      </w:r>
      <w:r w:rsidR="005907C8">
        <w:rPr>
          <w:noProof/>
        </w:rPr>
        <w:fldChar w:fldCharType="end"/>
      </w:r>
    </w:p>
    <w:p w14:paraId="0F9DF1D2" w14:textId="7812AAEF"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Committee details</w:t>
      </w:r>
      <w:r>
        <w:rPr>
          <w:noProof/>
        </w:rPr>
        <w:tab/>
      </w:r>
      <w:r>
        <w:rPr>
          <w:noProof/>
        </w:rPr>
        <w:fldChar w:fldCharType="begin"/>
      </w:r>
      <w:r>
        <w:rPr>
          <w:noProof/>
        </w:rPr>
        <w:instrText xml:space="preserve"> PAGEREF _Toc194052232 \h </w:instrText>
      </w:r>
      <w:r>
        <w:rPr>
          <w:noProof/>
        </w:rPr>
      </w:r>
      <w:r>
        <w:rPr>
          <w:noProof/>
        </w:rPr>
        <w:fldChar w:fldCharType="separate"/>
      </w:r>
      <w:r w:rsidR="00A358FD">
        <w:rPr>
          <w:noProof/>
        </w:rPr>
        <w:t>vi</w:t>
      </w:r>
      <w:r>
        <w:rPr>
          <w:noProof/>
        </w:rPr>
        <w:fldChar w:fldCharType="end"/>
      </w:r>
    </w:p>
    <w:p w14:paraId="3952CBF2" w14:textId="1C89816E"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Chair’s foreword</w:t>
      </w:r>
      <w:r>
        <w:rPr>
          <w:noProof/>
        </w:rPr>
        <w:tab/>
      </w:r>
      <w:r>
        <w:rPr>
          <w:noProof/>
        </w:rPr>
        <w:fldChar w:fldCharType="begin"/>
      </w:r>
      <w:r>
        <w:rPr>
          <w:noProof/>
        </w:rPr>
        <w:instrText xml:space="preserve"> PAGEREF _Toc194052233 \h </w:instrText>
      </w:r>
      <w:r>
        <w:rPr>
          <w:noProof/>
        </w:rPr>
      </w:r>
      <w:r>
        <w:rPr>
          <w:noProof/>
        </w:rPr>
        <w:fldChar w:fldCharType="separate"/>
      </w:r>
      <w:r w:rsidR="00A358FD">
        <w:rPr>
          <w:noProof/>
        </w:rPr>
        <w:t>vii</w:t>
      </w:r>
      <w:r>
        <w:rPr>
          <w:noProof/>
        </w:rPr>
        <w:fldChar w:fldCharType="end"/>
      </w:r>
    </w:p>
    <w:p w14:paraId="3866E7C5" w14:textId="78B64A63"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Findings</w:t>
      </w:r>
      <w:r>
        <w:rPr>
          <w:noProof/>
        </w:rPr>
        <w:tab/>
      </w:r>
      <w:r>
        <w:rPr>
          <w:noProof/>
        </w:rPr>
        <w:fldChar w:fldCharType="begin"/>
      </w:r>
      <w:r>
        <w:rPr>
          <w:noProof/>
        </w:rPr>
        <w:instrText xml:space="preserve"> PAGEREF _Toc194052234 \h </w:instrText>
      </w:r>
      <w:r>
        <w:rPr>
          <w:noProof/>
        </w:rPr>
      </w:r>
      <w:r>
        <w:rPr>
          <w:noProof/>
        </w:rPr>
        <w:fldChar w:fldCharType="separate"/>
      </w:r>
      <w:r w:rsidR="00A358FD">
        <w:rPr>
          <w:noProof/>
        </w:rPr>
        <w:t>viii</w:t>
      </w:r>
      <w:r>
        <w:rPr>
          <w:noProof/>
        </w:rPr>
        <w:fldChar w:fldCharType="end"/>
      </w:r>
    </w:p>
    <w:p w14:paraId="5ED636C6" w14:textId="24A27ECE"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Recommendations</w:t>
      </w:r>
      <w:r>
        <w:rPr>
          <w:noProof/>
        </w:rPr>
        <w:tab/>
      </w:r>
      <w:r>
        <w:rPr>
          <w:noProof/>
        </w:rPr>
        <w:fldChar w:fldCharType="begin"/>
      </w:r>
      <w:r>
        <w:rPr>
          <w:noProof/>
        </w:rPr>
        <w:instrText xml:space="preserve"> PAGEREF _Toc194052235 \h </w:instrText>
      </w:r>
      <w:r>
        <w:rPr>
          <w:noProof/>
        </w:rPr>
      </w:r>
      <w:r>
        <w:rPr>
          <w:noProof/>
        </w:rPr>
        <w:fldChar w:fldCharType="separate"/>
      </w:r>
      <w:r w:rsidR="00A358FD">
        <w:rPr>
          <w:noProof/>
        </w:rPr>
        <w:t>ix</w:t>
      </w:r>
      <w:r>
        <w:rPr>
          <w:noProof/>
        </w:rPr>
        <w:fldChar w:fldCharType="end"/>
      </w:r>
    </w:p>
    <w:p w14:paraId="5B002B56" w14:textId="31ABFEC6"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Conduct of inquiry</w:t>
      </w:r>
      <w:r>
        <w:rPr>
          <w:noProof/>
        </w:rPr>
        <w:tab/>
      </w:r>
      <w:r>
        <w:rPr>
          <w:noProof/>
        </w:rPr>
        <w:fldChar w:fldCharType="begin"/>
      </w:r>
      <w:r>
        <w:rPr>
          <w:noProof/>
        </w:rPr>
        <w:instrText xml:space="preserve"> PAGEREF _Toc194052236 \h </w:instrText>
      </w:r>
      <w:r>
        <w:rPr>
          <w:noProof/>
        </w:rPr>
      </w:r>
      <w:r>
        <w:rPr>
          <w:noProof/>
        </w:rPr>
        <w:fldChar w:fldCharType="separate"/>
      </w:r>
      <w:r w:rsidR="00A358FD">
        <w:rPr>
          <w:noProof/>
        </w:rPr>
        <w:t>x</w:t>
      </w:r>
      <w:r>
        <w:rPr>
          <w:noProof/>
        </w:rPr>
        <w:fldChar w:fldCharType="end"/>
      </w:r>
    </w:p>
    <w:p w14:paraId="308B612D" w14:textId="44BD43D1" w:rsidR="005907C8" w:rsidRDefault="005907C8">
      <w:pPr>
        <w:pStyle w:val="TOC1"/>
        <w:rPr>
          <w:rFonts w:asciiTheme="minorHAnsi" w:eastAsiaTheme="minorEastAsia" w:hAnsiTheme="minorHAnsi" w:cstheme="minorBidi"/>
          <w:b w:val="0"/>
          <w:noProof/>
          <w:kern w:val="2"/>
          <w:szCs w:val="24"/>
          <w:lang w:eastAsia="en-AU"/>
          <w14:ligatures w14:val="standardContextual"/>
        </w:rPr>
      </w:pPr>
      <w:r>
        <w:rPr>
          <w:noProof/>
        </w:rPr>
        <w:t>Chapter 1</w:t>
      </w:r>
      <w:r>
        <w:rPr>
          <w:rFonts w:asciiTheme="minorHAnsi" w:eastAsiaTheme="minorEastAsia" w:hAnsiTheme="minorHAnsi" w:cstheme="minorBidi"/>
          <w:b w:val="0"/>
          <w:noProof/>
          <w:kern w:val="2"/>
          <w:szCs w:val="24"/>
          <w:lang w:eastAsia="en-AU"/>
          <w14:ligatures w14:val="standardContextual"/>
        </w:rPr>
        <w:tab/>
      </w:r>
      <w:r>
        <w:rPr>
          <w:noProof/>
        </w:rPr>
        <w:t>Background</w:t>
      </w:r>
      <w:r>
        <w:rPr>
          <w:noProof/>
        </w:rPr>
        <w:tab/>
      </w:r>
      <w:r>
        <w:rPr>
          <w:noProof/>
        </w:rPr>
        <w:fldChar w:fldCharType="begin"/>
      </w:r>
      <w:r>
        <w:rPr>
          <w:noProof/>
        </w:rPr>
        <w:instrText xml:space="preserve"> PAGEREF _Toc194052237 \h </w:instrText>
      </w:r>
      <w:r>
        <w:rPr>
          <w:noProof/>
        </w:rPr>
      </w:r>
      <w:r>
        <w:rPr>
          <w:noProof/>
        </w:rPr>
        <w:fldChar w:fldCharType="separate"/>
      </w:r>
      <w:r w:rsidR="00A358FD">
        <w:rPr>
          <w:noProof/>
        </w:rPr>
        <w:t>1</w:t>
      </w:r>
      <w:r>
        <w:rPr>
          <w:noProof/>
        </w:rPr>
        <w:fldChar w:fldCharType="end"/>
      </w:r>
    </w:p>
    <w:p w14:paraId="6E1BDA81" w14:textId="3A323928"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Net Zero Commission</w:t>
      </w:r>
      <w:r>
        <w:rPr>
          <w:noProof/>
        </w:rPr>
        <w:tab/>
      </w:r>
      <w:r>
        <w:rPr>
          <w:noProof/>
        </w:rPr>
        <w:fldChar w:fldCharType="begin"/>
      </w:r>
      <w:r>
        <w:rPr>
          <w:noProof/>
        </w:rPr>
        <w:instrText xml:space="preserve"> PAGEREF _Toc194052238 \h </w:instrText>
      </w:r>
      <w:r>
        <w:rPr>
          <w:noProof/>
        </w:rPr>
      </w:r>
      <w:r>
        <w:rPr>
          <w:noProof/>
        </w:rPr>
        <w:fldChar w:fldCharType="separate"/>
      </w:r>
      <w:r w:rsidR="00A358FD">
        <w:rPr>
          <w:noProof/>
        </w:rPr>
        <w:t>1</w:t>
      </w:r>
      <w:r>
        <w:rPr>
          <w:noProof/>
        </w:rPr>
        <w:fldChar w:fldCharType="end"/>
      </w:r>
    </w:p>
    <w:p w14:paraId="3D9A7AED" w14:textId="0B16D536"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Functions of the commission</w:t>
      </w:r>
      <w:r>
        <w:rPr>
          <w:noProof/>
        </w:rPr>
        <w:tab/>
      </w:r>
      <w:r>
        <w:rPr>
          <w:noProof/>
        </w:rPr>
        <w:fldChar w:fldCharType="begin"/>
      </w:r>
      <w:r>
        <w:rPr>
          <w:noProof/>
        </w:rPr>
        <w:instrText xml:space="preserve"> PAGEREF _Toc194052239 \h </w:instrText>
      </w:r>
      <w:r>
        <w:rPr>
          <w:noProof/>
        </w:rPr>
      </w:r>
      <w:r>
        <w:rPr>
          <w:noProof/>
        </w:rPr>
        <w:fldChar w:fldCharType="separate"/>
      </w:r>
      <w:r w:rsidR="00A358FD">
        <w:rPr>
          <w:noProof/>
        </w:rPr>
        <w:t>1</w:t>
      </w:r>
      <w:r>
        <w:rPr>
          <w:noProof/>
        </w:rPr>
        <w:fldChar w:fldCharType="end"/>
      </w:r>
    </w:p>
    <w:p w14:paraId="6A6ABDDF" w14:textId="0341C2A5"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Establishment of the Net Zero Commission</w:t>
      </w:r>
      <w:r>
        <w:rPr>
          <w:noProof/>
        </w:rPr>
        <w:tab/>
      </w:r>
      <w:r>
        <w:rPr>
          <w:noProof/>
        </w:rPr>
        <w:fldChar w:fldCharType="begin"/>
      </w:r>
      <w:r>
        <w:rPr>
          <w:noProof/>
        </w:rPr>
        <w:instrText xml:space="preserve"> PAGEREF _Toc194052240 \h </w:instrText>
      </w:r>
      <w:r>
        <w:rPr>
          <w:noProof/>
        </w:rPr>
      </w:r>
      <w:r>
        <w:rPr>
          <w:noProof/>
        </w:rPr>
        <w:fldChar w:fldCharType="separate"/>
      </w:r>
      <w:r w:rsidR="00A358FD">
        <w:rPr>
          <w:noProof/>
        </w:rPr>
        <w:t>2</w:t>
      </w:r>
      <w:r>
        <w:rPr>
          <w:noProof/>
        </w:rPr>
        <w:fldChar w:fldCharType="end"/>
      </w:r>
    </w:p>
    <w:p w14:paraId="1C0303CF" w14:textId="5E03EDF3"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Guiding principles</w:t>
      </w:r>
      <w:r>
        <w:rPr>
          <w:noProof/>
        </w:rPr>
        <w:tab/>
      </w:r>
      <w:r>
        <w:rPr>
          <w:noProof/>
        </w:rPr>
        <w:fldChar w:fldCharType="begin"/>
      </w:r>
      <w:r>
        <w:rPr>
          <w:noProof/>
        </w:rPr>
        <w:instrText xml:space="preserve"> PAGEREF _Toc194052241 \h </w:instrText>
      </w:r>
      <w:r>
        <w:rPr>
          <w:noProof/>
        </w:rPr>
      </w:r>
      <w:r>
        <w:rPr>
          <w:noProof/>
        </w:rPr>
        <w:fldChar w:fldCharType="separate"/>
      </w:r>
      <w:r w:rsidR="00A358FD">
        <w:rPr>
          <w:noProof/>
        </w:rPr>
        <w:t>3</w:t>
      </w:r>
      <w:r>
        <w:rPr>
          <w:noProof/>
        </w:rPr>
        <w:fldChar w:fldCharType="end"/>
      </w:r>
    </w:p>
    <w:p w14:paraId="3AB5CFFA" w14:textId="596417CB"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Annual reporting</w:t>
      </w:r>
      <w:r>
        <w:rPr>
          <w:noProof/>
        </w:rPr>
        <w:tab/>
      </w:r>
      <w:r>
        <w:rPr>
          <w:noProof/>
        </w:rPr>
        <w:fldChar w:fldCharType="begin"/>
      </w:r>
      <w:r>
        <w:rPr>
          <w:noProof/>
        </w:rPr>
        <w:instrText xml:space="preserve"> PAGEREF _Toc194052242 \h </w:instrText>
      </w:r>
      <w:r>
        <w:rPr>
          <w:noProof/>
        </w:rPr>
      </w:r>
      <w:r>
        <w:rPr>
          <w:noProof/>
        </w:rPr>
        <w:fldChar w:fldCharType="separate"/>
      </w:r>
      <w:r w:rsidR="00A358FD">
        <w:rPr>
          <w:noProof/>
        </w:rPr>
        <w:t>5</w:t>
      </w:r>
      <w:r>
        <w:rPr>
          <w:noProof/>
        </w:rPr>
        <w:fldChar w:fldCharType="end"/>
      </w:r>
    </w:p>
    <w:p w14:paraId="6BF87100" w14:textId="26EC06A9"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2024 Annual Report</w:t>
      </w:r>
      <w:r>
        <w:rPr>
          <w:noProof/>
        </w:rPr>
        <w:tab/>
      </w:r>
      <w:r>
        <w:rPr>
          <w:noProof/>
        </w:rPr>
        <w:fldChar w:fldCharType="begin"/>
      </w:r>
      <w:r>
        <w:rPr>
          <w:noProof/>
        </w:rPr>
        <w:instrText xml:space="preserve"> PAGEREF _Toc194052243 \h </w:instrText>
      </w:r>
      <w:r>
        <w:rPr>
          <w:noProof/>
        </w:rPr>
      </w:r>
      <w:r>
        <w:rPr>
          <w:noProof/>
        </w:rPr>
        <w:fldChar w:fldCharType="separate"/>
      </w:r>
      <w:r w:rsidR="00A358FD">
        <w:rPr>
          <w:noProof/>
        </w:rPr>
        <w:t>5</w:t>
      </w:r>
      <w:r>
        <w:rPr>
          <w:noProof/>
        </w:rPr>
        <w:fldChar w:fldCharType="end"/>
      </w:r>
    </w:p>
    <w:p w14:paraId="3513FC45" w14:textId="6B6F6954"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The Joint Standing Committee on Net Zero Future</w:t>
      </w:r>
      <w:r>
        <w:rPr>
          <w:noProof/>
        </w:rPr>
        <w:tab/>
      </w:r>
      <w:r>
        <w:rPr>
          <w:noProof/>
        </w:rPr>
        <w:fldChar w:fldCharType="begin"/>
      </w:r>
      <w:r>
        <w:rPr>
          <w:noProof/>
        </w:rPr>
        <w:instrText xml:space="preserve"> PAGEREF _Toc194052244 \h </w:instrText>
      </w:r>
      <w:r>
        <w:rPr>
          <w:noProof/>
        </w:rPr>
      </w:r>
      <w:r>
        <w:rPr>
          <w:noProof/>
        </w:rPr>
        <w:fldChar w:fldCharType="separate"/>
      </w:r>
      <w:r w:rsidR="00A358FD">
        <w:rPr>
          <w:noProof/>
        </w:rPr>
        <w:t>6</w:t>
      </w:r>
      <w:r>
        <w:rPr>
          <w:noProof/>
        </w:rPr>
        <w:fldChar w:fldCharType="end"/>
      </w:r>
    </w:p>
    <w:p w14:paraId="5AC1B2DD" w14:textId="31C792D1"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lang w:eastAsia="en-AU"/>
        </w:rPr>
        <w:t>National and state-level emissions reductions frameworks</w:t>
      </w:r>
      <w:r>
        <w:rPr>
          <w:noProof/>
        </w:rPr>
        <w:tab/>
      </w:r>
      <w:r>
        <w:rPr>
          <w:noProof/>
        </w:rPr>
        <w:fldChar w:fldCharType="begin"/>
      </w:r>
      <w:r>
        <w:rPr>
          <w:noProof/>
        </w:rPr>
        <w:instrText xml:space="preserve"> PAGEREF _Toc194052245 \h </w:instrText>
      </w:r>
      <w:r>
        <w:rPr>
          <w:noProof/>
        </w:rPr>
      </w:r>
      <w:r>
        <w:rPr>
          <w:noProof/>
        </w:rPr>
        <w:fldChar w:fldCharType="separate"/>
      </w:r>
      <w:r w:rsidR="00A358FD">
        <w:rPr>
          <w:noProof/>
        </w:rPr>
        <w:t>8</w:t>
      </w:r>
      <w:r>
        <w:rPr>
          <w:noProof/>
        </w:rPr>
        <w:fldChar w:fldCharType="end"/>
      </w:r>
    </w:p>
    <w:p w14:paraId="53F7B348" w14:textId="6058F14D"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The inquiry into the Climate Change (Net Zero Future) Bill 2023</w:t>
      </w:r>
      <w:r>
        <w:rPr>
          <w:noProof/>
        </w:rPr>
        <w:tab/>
      </w:r>
      <w:r>
        <w:rPr>
          <w:noProof/>
        </w:rPr>
        <w:fldChar w:fldCharType="begin"/>
      </w:r>
      <w:r>
        <w:rPr>
          <w:noProof/>
        </w:rPr>
        <w:instrText xml:space="preserve"> PAGEREF _Toc194052246 \h </w:instrText>
      </w:r>
      <w:r>
        <w:rPr>
          <w:noProof/>
        </w:rPr>
      </w:r>
      <w:r>
        <w:rPr>
          <w:noProof/>
        </w:rPr>
        <w:fldChar w:fldCharType="separate"/>
      </w:r>
      <w:r w:rsidR="00A358FD">
        <w:rPr>
          <w:noProof/>
        </w:rPr>
        <w:t>9</w:t>
      </w:r>
      <w:r>
        <w:rPr>
          <w:noProof/>
        </w:rPr>
        <w:fldChar w:fldCharType="end"/>
      </w:r>
    </w:p>
    <w:p w14:paraId="60A5B9AE" w14:textId="31034728" w:rsidR="005907C8" w:rsidRDefault="005907C8">
      <w:pPr>
        <w:pStyle w:val="TOC1"/>
        <w:rPr>
          <w:rFonts w:asciiTheme="minorHAnsi" w:eastAsiaTheme="minorEastAsia" w:hAnsiTheme="minorHAnsi" w:cstheme="minorBidi"/>
          <w:b w:val="0"/>
          <w:noProof/>
          <w:kern w:val="2"/>
          <w:szCs w:val="24"/>
          <w:lang w:eastAsia="en-AU"/>
          <w14:ligatures w14:val="standardContextual"/>
        </w:rPr>
      </w:pPr>
      <w:r>
        <w:rPr>
          <w:noProof/>
        </w:rPr>
        <w:t>Chapter 2</w:t>
      </w:r>
      <w:r>
        <w:rPr>
          <w:rFonts w:asciiTheme="minorHAnsi" w:eastAsiaTheme="minorEastAsia" w:hAnsiTheme="minorHAnsi" w:cstheme="minorBidi"/>
          <w:b w:val="0"/>
          <w:noProof/>
          <w:kern w:val="2"/>
          <w:szCs w:val="24"/>
          <w:lang w:eastAsia="en-AU"/>
          <w14:ligatures w14:val="standardContextual"/>
        </w:rPr>
        <w:tab/>
      </w:r>
      <w:r>
        <w:rPr>
          <w:noProof/>
        </w:rPr>
        <w:t>The 2024 Annual Report</w:t>
      </w:r>
      <w:r>
        <w:rPr>
          <w:noProof/>
        </w:rPr>
        <w:tab/>
      </w:r>
      <w:r>
        <w:rPr>
          <w:noProof/>
        </w:rPr>
        <w:fldChar w:fldCharType="begin"/>
      </w:r>
      <w:r>
        <w:rPr>
          <w:noProof/>
        </w:rPr>
        <w:instrText xml:space="preserve"> PAGEREF _Toc194052247 \h </w:instrText>
      </w:r>
      <w:r>
        <w:rPr>
          <w:noProof/>
        </w:rPr>
      </w:r>
      <w:r>
        <w:rPr>
          <w:noProof/>
        </w:rPr>
        <w:fldChar w:fldCharType="separate"/>
      </w:r>
      <w:r w:rsidR="00A358FD">
        <w:rPr>
          <w:noProof/>
        </w:rPr>
        <w:t>11</w:t>
      </w:r>
      <w:r>
        <w:rPr>
          <w:noProof/>
        </w:rPr>
        <w:fldChar w:fldCharType="end"/>
      </w:r>
    </w:p>
    <w:p w14:paraId="50D130F6" w14:textId="1CA82932"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The Net Zero Commission’s initial assessment on emissions reduction in New South Wales</w:t>
      </w:r>
      <w:r>
        <w:rPr>
          <w:noProof/>
        </w:rPr>
        <w:tab/>
      </w:r>
      <w:r>
        <w:rPr>
          <w:noProof/>
        </w:rPr>
        <w:fldChar w:fldCharType="begin"/>
      </w:r>
      <w:r>
        <w:rPr>
          <w:noProof/>
        </w:rPr>
        <w:instrText xml:space="preserve"> PAGEREF _Toc194052248 \h </w:instrText>
      </w:r>
      <w:r>
        <w:rPr>
          <w:noProof/>
        </w:rPr>
      </w:r>
      <w:r>
        <w:rPr>
          <w:noProof/>
        </w:rPr>
        <w:fldChar w:fldCharType="separate"/>
      </w:r>
      <w:r w:rsidR="00A358FD">
        <w:rPr>
          <w:noProof/>
        </w:rPr>
        <w:t>11</w:t>
      </w:r>
      <w:r>
        <w:rPr>
          <w:noProof/>
        </w:rPr>
        <w:fldChar w:fldCharType="end"/>
      </w:r>
    </w:p>
    <w:p w14:paraId="045024AA" w14:textId="2FE2EE2C"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Pathways for reducing emissions in New South Wales</w:t>
      </w:r>
      <w:r>
        <w:rPr>
          <w:noProof/>
        </w:rPr>
        <w:tab/>
      </w:r>
      <w:r>
        <w:rPr>
          <w:noProof/>
        </w:rPr>
        <w:fldChar w:fldCharType="begin"/>
      </w:r>
      <w:r>
        <w:rPr>
          <w:noProof/>
        </w:rPr>
        <w:instrText xml:space="preserve"> PAGEREF _Toc194052249 \h </w:instrText>
      </w:r>
      <w:r>
        <w:rPr>
          <w:noProof/>
        </w:rPr>
      </w:r>
      <w:r>
        <w:rPr>
          <w:noProof/>
        </w:rPr>
        <w:fldChar w:fldCharType="separate"/>
      </w:r>
      <w:r w:rsidR="00A358FD">
        <w:rPr>
          <w:noProof/>
        </w:rPr>
        <w:t>13</w:t>
      </w:r>
      <w:r>
        <w:rPr>
          <w:noProof/>
        </w:rPr>
        <w:fldChar w:fldCharType="end"/>
      </w:r>
    </w:p>
    <w:p w14:paraId="119B3253" w14:textId="05E8BDBB"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Electricity and energy sector</w:t>
      </w:r>
      <w:r>
        <w:rPr>
          <w:noProof/>
        </w:rPr>
        <w:tab/>
      </w:r>
      <w:r>
        <w:rPr>
          <w:noProof/>
        </w:rPr>
        <w:fldChar w:fldCharType="begin"/>
      </w:r>
      <w:r>
        <w:rPr>
          <w:noProof/>
        </w:rPr>
        <w:instrText xml:space="preserve"> PAGEREF _Toc194052250 \h </w:instrText>
      </w:r>
      <w:r>
        <w:rPr>
          <w:noProof/>
        </w:rPr>
      </w:r>
      <w:r>
        <w:rPr>
          <w:noProof/>
        </w:rPr>
        <w:fldChar w:fldCharType="separate"/>
      </w:r>
      <w:r w:rsidR="00A358FD">
        <w:rPr>
          <w:noProof/>
        </w:rPr>
        <w:t>14</w:t>
      </w:r>
      <w:r>
        <w:rPr>
          <w:noProof/>
        </w:rPr>
        <w:fldChar w:fldCharType="end"/>
      </w:r>
    </w:p>
    <w:p w14:paraId="09E66635" w14:textId="7C1F44C8"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Transport sector</w:t>
      </w:r>
      <w:r>
        <w:rPr>
          <w:noProof/>
        </w:rPr>
        <w:tab/>
      </w:r>
      <w:r>
        <w:rPr>
          <w:noProof/>
        </w:rPr>
        <w:fldChar w:fldCharType="begin"/>
      </w:r>
      <w:r>
        <w:rPr>
          <w:noProof/>
        </w:rPr>
        <w:instrText xml:space="preserve"> PAGEREF _Toc194052251 \h </w:instrText>
      </w:r>
      <w:r>
        <w:rPr>
          <w:noProof/>
        </w:rPr>
      </w:r>
      <w:r>
        <w:rPr>
          <w:noProof/>
        </w:rPr>
        <w:fldChar w:fldCharType="separate"/>
      </w:r>
      <w:r w:rsidR="00A358FD">
        <w:rPr>
          <w:noProof/>
        </w:rPr>
        <w:t>16</w:t>
      </w:r>
      <w:r>
        <w:rPr>
          <w:noProof/>
        </w:rPr>
        <w:fldChar w:fldCharType="end"/>
      </w:r>
    </w:p>
    <w:p w14:paraId="66EBC0BD" w14:textId="20A5024F"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Agriculture and land sector</w:t>
      </w:r>
      <w:r>
        <w:rPr>
          <w:noProof/>
        </w:rPr>
        <w:tab/>
      </w:r>
      <w:r>
        <w:rPr>
          <w:noProof/>
        </w:rPr>
        <w:fldChar w:fldCharType="begin"/>
      </w:r>
      <w:r>
        <w:rPr>
          <w:noProof/>
        </w:rPr>
        <w:instrText xml:space="preserve"> PAGEREF _Toc194052252 \h </w:instrText>
      </w:r>
      <w:r>
        <w:rPr>
          <w:noProof/>
        </w:rPr>
      </w:r>
      <w:r>
        <w:rPr>
          <w:noProof/>
        </w:rPr>
        <w:fldChar w:fldCharType="separate"/>
      </w:r>
      <w:r w:rsidR="00A358FD">
        <w:rPr>
          <w:noProof/>
        </w:rPr>
        <w:t>17</w:t>
      </w:r>
      <w:r>
        <w:rPr>
          <w:noProof/>
        </w:rPr>
        <w:fldChar w:fldCharType="end"/>
      </w:r>
    </w:p>
    <w:p w14:paraId="7D4E096B" w14:textId="0BAD0B10"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Industry and waste sector</w:t>
      </w:r>
      <w:r>
        <w:rPr>
          <w:noProof/>
        </w:rPr>
        <w:tab/>
      </w:r>
      <w:r>
        <w:rPr>
          <w:noProof/>
        </w:rPr>
        <w:fldChar w:fldCharType="begin"/>
      </w:r>
      <w:r>
        <w:rPr>
          <w:noProof/>
        </w:rPr>
        <w:instrText xml:space="preserve"> PAGEREF _Toc194052253 \h </w:instrText>
      </w:r>
      <w:r>
        <w:rPr>
          <w:noProof/>
        </w:rPr>
      </w:r>
      <w:r>
        <w:rPr>
          <w:noProof/>
        </w:rPr>
        <w:fldChar w:fldCharType="separate"/>
      </w:r>
      <w:r w:rsidR="00A358FD">
        <w:rPr>
          <w:noProof/>
        </w:rPr>
        <w:t>19</w:t>
      </w:r>
      <w:r>
        <w:rPr>
          <w:noProof/>
        </w:rPr>
        <w:fldChar w:fldCharType="end"/>
      </w:r>
    </w:p>
    <w:p w14:paraId="35CC4A41" w14:textId="4FC20F7C"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Resources sector</w:t>
      </w:r>
      <w:r>
        <w:rPr>
          <w:noProof/>
        </w:rPr>
        <w:tab/>
      </w:r>
      <w:r>
        <w:rPr>
          <w:noProof/>
        </w:rPr>
        <w:fldChar w:fldCharType="begin"/>
      </w:r>
      <w:r>
        <w:rPr>
          <w:noProof/>
        </w:rPr>
        <w:instrText xml:space="preserve"> PAGEREF _Toc194052254 \h </w:instrText>
      </w:r>
      <w:r>
        <w:rPr>
          <w:noProof/>
        </w:rPr>
      </w:r>
      <w:r>
        <w:rPr>
          <w:noProof/>
        </w:rPr>
        <w:fldChar w:fldCharType="separate"/>
      </w:r>
      <w:r w:rsidR="00A358FD">
        <w:rPr>
          <w:noProof/>
        </w:rPr>
        <w:t>19</w:t>
      </w:r>
      <w:r>
        <w:rPr>
          <w:noProof/>
        </w:rPr>
        <w:fldChar w:fldCharType="end"/>
      </w:r>
    </w:p>
    <w:p w14:paraId="7949672B" w14:textId="3444DFD0" w:rsidR="005907C8" w:rsidRDefault="005907C8">
      <w:pPr>
        <w:pStyle w:val="TOC3"/>
        <w:rPr>
          <w:rFonts w:asciiTheme="minorHAnsi" w:eastAsiaTheme="minorEastAsia" w:hAnsiTheme="minorHAnsi" w:cstheme="minorBidi"/>
          <w:noProof/>
          <w:kern w:val="2"/>
          <w:szCs w:val="24"/>
          <w:lang w:eastAsia="en-AU"/>
          <w14:ligatures w14:val="standardContextual"/>
        </w:rPr>
      </w:pPr>
      <w:r>
        <w:rPr>
          <w:noProof/>
        </w:rPr>
        <w:t>Built environment sector</w:t>
      </w:r>
      <w:r>
        <w:rPr>
          <w:noProof/>
        </w:rPr>
        <w:tab/>
      </w:r>
      <w:r>
        <w:rPr>
          <w:noProof/>
        </w:rPr>
        <w:fldChar w:fldCharType="begin"/>
      </w:r>
      <w:r>
        <w:rPr>
          <w:noProof/>
        </w:rPr>
        <w:instrText xml:space="preserve"> PAGEREF _Toc194052255 \h </w:instrText>
      </w:r>
      <w:r>
        <w:rPr>
          <w:noProof/>
        </w:rPr>
      </w:r>
      <w:r>
        <w:rPr>
          <w:noProof/>
        </w:rPr>
        <w:fldChar w:fldCharType="separate"/>
      </w:r>
      <w:r w:rsidR="00A358FD">
        <w:rPr>
          <w:noProof/>
        </w:rPr>
        <w:t>22</w:t>
      </w:r>
      <w:r>
        <w:rPr>
          <w:noProof/>
        </w:rPr>
        <w:fldChar w:fldCharType="end"/>
      </w:r>
    </w:p>
    <w:p w14:paraId="1007C85F" w14:textId="43C5492A"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Climate change adaptation in New South Wales</w:t>
      </w:r>
      <w:r>
        <w:rPr>
          <w:noProof/>
        </w:rPr>
        <w:tab/>
      </w:r>
      <w:r>
        <w:rPr>
          <w:noProof/>
        </w:rPr>
        <w:fldChar w:fldCharType="begin"/>
      </w:r>
      <w:r>
        <w:rPr>
          <w:noProof/>
        </w:rPr>
        <w:instrText xml:space="preserve"> PAGEREF _Toc194052256 \h </w:instrText>
      </w:r>
      <w:r>
        <w:rPr>
          <w:noProof/>
        </w:rPr>
      </w:r>
      <w:r>
        <w:rPr>
          <w:noProof/>
        </w:rPr>
        <w:fldChar w:fldCharType="separate"/>
      </w:r>
      <w:r w:rsidR="00A358FD">
        <w:rPr>
          <w:noProof/>
        </w:rPr>
        <w:t>23</w:t>
      </w:r>
      <w:r>
        <w:rPr>
          <w:noProof/>
        </w:rPr>
        <w:fldChar w:fldCharType="end"/>
      </w:r>
    </w:p>
    <w:p w14:paraId="159E9FC8" w14:textId="1A2C2B54" w:rsidR="005907C8" w:rsidRDefault="005907C8">
      <w:pPr>
        <w:pStyle w:val="TOC2"/>
        <w:rPr>
          <w:rFonts w:asciiTheme="minorHAnsi" w:eastAsiaTheme="minorEastAsia" w:hAnsiTheme="minorHAnsi" w:cstheme="minorBidi"/>
          <w:b w:val="0"/>
          <w:noProof/>
          <w:kern w:val="2"/>
          <w:szCs w:val="24"/>
          <w:lang w:eastAsia="en-AU"/>
          <w14:ligatures w14:val="standardContextual"/>
        </w:rPr>
      </w:pPr>
      <w:r>
        <w:rPr>
          <w:noProof/>
        </w:rPr>
        <w:t>Committee comment</w:t>
      </w:r>
      <w:r>
        <w:rPr>
          <w:noProof/>
        </w:rPr>
        <w:tab/>
      </w:r>
      <w:r>
        <w:rPr>
          <w:noProof/>
        </w:rPr>
        <w:fldChar w:fldCharType="begin"/>
      </w:r>
      <w:r>
        <w:rPr>
          <w:noProof/>
        </w:rPr>
        <w:instrText xml:space="preserve"> PAGEREF _Toc194052257 \h </w:instrText>
      </w:r>
      <w:r>
        <w:rPr>
          <w:noProof/>
        </w:rPr>
      </w:r>
      <w:r>
        <w:rPr>
          <w:noProof/>
        </w:rPr>
        <w:fldChar w:fldCharType="separate"/>
      </w:r>
      <w:r w:rsidR="00A358FD">
        <w:rPr>
          <w:noProof/>
        </w:rPr>
        <w:t>26</w:t>
      </w:r>
      <w:r>
        <w:rPr>
          <w:noProof/>
        </w:rPr>
        <w:fldChar w:fldCharType="end"/>
      </w:r>
    </w:p>
    <w:p w14:paraId="01648923" w14:textId="73EFA690" w:rsidR="005907C8" w:rsidRDefault="005907C8">
      <w:pPr>
        <w:pStyle w:val="TOC1"/>
        <w:rPr>
          <w:rFonts w:asciiTheme="minorHAnsi" w:eastAsiaTheme="minorEastAsia" w:hAnsiTheme="minorHAnsi" w:cstheme="minorBidi"/>
          <w:b w:val="0"/>
          <w:noProof/>
          <w:kern w:val="2"/>
          <w:szCs w:val="24"/>
          <w:lang w:eastAsia="en-AU"/>
          <w14:ligatures w14:val="standardContextual"/>
        </w:rPr>
      </w:pPr>
      <w:r w:rsidRPr="00C90343">
        <w:rPr>
          <w:noProof/>
          <w:lang w:val="en-US"/>
        </w:rPr>
        <w:lastRenderedPageBreak/>
        <w:t>Appendix 1</w:t>
      </w:r>
      <w:r>
        <w:rPr>
          <w:rFonts w:asciiTheme="minorHAnsi" w:eastAsiaTheme="minorEastAsia" w:hAnsiTheme="minorHAnsi" w:cstheme="minorBidi"/>
          <w:b w:val="0"/>
          <w:noProof/>
          <w:kern w:val="2"/>
          <w:szCs w:val="24"/>
          <w:lang w:eastAsia="en-AU"/>
          <w14:ligatures w14:val="standardContextual"/>
        </w:rPr>
        <w:tab/>
      </w:r>
      <w:r w:rsidRPr="00C90343">
        <w:rPr>
          <w:noProof/>
          <w:lang w:val="en-US"/>
        </w:rPr>
        <w:t>Submissions</w:t>
      </w:r>
      <w:r>
        <w:rPr>
          <w:noProof/>
        </w:rPr>
        <w:tab/>
      </w:r>
      <w:r>
        <w:rPr>
          <w:noProof/>
        </w:rPr>
        <w:fldChar w:fldCharType="begin"/>
      </w:r>
      <w:r>
        <w:rPr>
          <w:noProof/>
        </w:rPr>
        <w:instrText xml:space="preserve"> PAGEREF _Toc194052258 \h </w:instrText>
      </w:r>
      <w:r>
        <w:rPr>
          <w:noProof/>
        </w:rPr>
      </w:r>
      <w:r>
        <w:rPr>
          <w:noProof/>
        </w:rPr>
        <w:fldChar w:fldCharType="separate"/>
      </w:r>
      <w:r w:rsidR="00A358FD">
        <w:rPr>
          <w:noProof/>
        </w:rPr>
        <w:t>29</w:t>
      </w:r>
      <w:r>
        <w:rPr>
          <w:noProof/>
        </w:rPr>
        <w:fldChar w:fldCharType="end"/>
      </w:r>
    </w:p>
    <w:p w14:paraId="08EDB027" w14:textId="66711E5B" w:rsidR="005907C8" w:rsidRDefault="005907C8">
      <w:pPr>
        <w:pStyle w:val="TOC1"/>
        <w:rPr>
          <w:rFonts w:asciiTheme="minorHAnsi" w:eastAsiaTheme="minorEastAsia" w:hAnsiTheme="minorHAnsi" w:cstheme="minorBidi"/>
          <w:b w:val="0"/>
          <w:noProof/>
          <w:kern w:val="2"/>
          <w:szCs w:val="24"/>
          <w:lang w:eastAsia="en-AU"/>
          <w14:ligatures w14:val="standardContextual"/>
        </w:rPr>
      </w:pPr>
      <w:r w:rsidRPr="00C90343">
        <w:rPr>
          <w:noProof/>
          <w:lang w:val="en-US"/>
        </w:rPr>
        <w:t>Appendix 2</w:t>
      </w:r>
      <w:r>
        <w:rPr>
          <w:rFonts w:asciiTheme="minorHAnsi" w:eastAsiaTheme="minorEastAsia" w:hAnsiTheme="minorHAnsi" w:cstheme="minorBidi"/>
          <w:b w:val="0"/>
          <w:noProof/>
          <w:kern w:val="2"/>
          <w:szCs w:val="24"/>
          <w:lang w:eastAsia="en-AU"/>
          <w14:ligatures w14:val="standardContextual"/>
        </w:rPr>
        <w:tab/>
      </w:r>
      <w:r w:rsidRPr="00C90343">
        <w:rPr>
          <w:noProof/>
          <w:lang w:val="en-US"/>
        </w:rPr>
        <w:t>Witnesses at hearings</w:t>
      </w:r>
      <w:r>
        <w:rPr>
          <w:noProof/>
        </w:rPr>
        <w:tab/>
      </w:r>
      <w:r>
        <w:rPr>
          <w:noProof/>
        </w:rPr>
        <w:fldChar w:fldCharType="begin"/>
      </w:r>
      <w:r>
        <w:rPr>
          <w:noProof/>
        </w:rPr>
        <w:instrText xml:space="preserve"> PAGEREF _Toc194052259 \h </w:instrText>
      </w:r>
      <w:r>
        <w:rPr>
          <w:noProof/>
        </w:rPr>
      </w:r>
      <w:r>
        <w:rPr>
          <w:noProof/>
        </w:rPr>
        <w:fldChar w:fldCharType="separate"/>
      </w:r>
      <w:r w:rsidR="00A358FD">
        <w:rPr>
          <w:noProof/>
        </w:rPr>
        <w:t>32</w:t>
      </w:r>
      <w:r>
        <w:rPr>
          <w:noProof/>
        </w:rPr>
        <w:fldChar w:fldCharType="end"/>
      </w:r>
    </w:p>
    <w:p w14:paraId="218B70A2" w14:textId="3B5FC759" w:rsidR="005907C8" w:rsidRDefault="005907C8">
      <w:pPr>
        <w:pStyle w:val="TOC1"/>
        <w:rPr>
          <w:rFonts w:asciiTheme="minorHAnsi" w:eastAsiaTheme="minorEastAsia" w:hAnsiTheme="minorHAnsi" w:cstheme="minorBidi"/>
          <w:b w:val="0"/>
          <w:noProof/>
          <w:kern w:val="2"/>
          <w:szCs w:val="24"/>
          <w:lang w:eastAsia="en-AU"/>
          <w14:ligatures w14:val="standardContextual"/>
        </w:rPr>
      </w:pPr>
      <w:r w:rsidRPr="00C90343">
        <w:rPr>
          <w:noProof/>
          <w:lang w:val="en-US"/>
        </w:rPr>
        <w:t>Appendix 3</w:t>
      </w:r>
      <w:r>
        <w:rPr>
          <w:rFonts w:asciiTheme="minorHAnsi" w:eastAsiaTheme="minorEastAsia" w:hAnsiTheme="minorHAnsi" w:cstheme="minorBidi"/>
          <w:b w:val="0"/>
          <w:noProof/>
          <w:kern w:val="2"/>
          <w:szCs w:val="24"/>
          <w:lang w:eastAsia="en-AU"/>
          <w14:ligatures w14:val="standardContextual"/>
        </w:rPr>
        <w:tab/>
      </w:r>
      <w:r w:rsidRPr="00C90343">
        <w:rPr>
          <w:noProof/>
          <w:lang w:val="en-US"/>
        </w:rPr>
        <w:t>Minutes</w:t>
      </w:r>
      <w:r>
        <w:rPr>
          <w:noProof/>
        </w:rPr>
        <w:tab/>
      </w:r>
      <w:r>
        <w:rPr>
          <w:noProof/>
        </w:rPr>
        <w:fldChar w:fldCharType="begin"/>
      </w:r>
      <w:r>
        <w:rPr>
          <w:noProof/>
        </w:rPr>
        <w:instrText xml:space="preserve"> PAGEREF _Toc194052260 \h </w:instrText>
      </w:r>
      <w:r>
        <w:rPr>
          <w:noProof/>
        </w:rPr>
      </w:r>
      <w:r>
        <w:rPr>
          <w:noProof/>
        </w:rPr>
        <w:fldChar w:fldCharType="separate"/>
      </w:r>
      <w:r w:rsidR="00A358FD">
        <w:rPr>
          <w:noProof/>
        </w:rPr>
        <w:t>34</w:t>
      </w:r>
      <w:r>
        <w:rPr>
          <w:noProof/>
        </w:rPr>
        <w:fldChar w:fldCharType="end"/>
      </w:r>
    </w:p>
    <w:p w14:paraId="4FDAE2B8" w14:textId="7D6CB91F" w:rsidR="005F52AE" w:rsidRDefault="005F52AE" w:rsidP="00E05C9D">
      <w:pPr>
        <w:pStyle w:val="InitialBodyCopy"/>
        <w:pBdr>
          <w:top w:val="single" w:sz="8" w:space="31" w:color="auto"/>
        </w:pBdr>
        <w:spacing w:after="0"/>
      </w:pPr>
      <w:r>
        <w:fldChar w:fldCharType="end"/>
      </w:r>
      <w:bookmarkStart w:id="8" w:name="TOC"/>
      <w:bookmarkEnd w:id="8"/>
    </w:p>
    <w:p w14:paraId="1561439A" w14:textId="77777777" w:rsidR="00177130" w:rsidRDefault="00177130">
      <w:pPr>
        <w:rPr>
          <w:sz w:val="24"/>
        </w:rPr>
      </w:pPr>
      <w:r>
        <w:br w:type="page"/>
      </w:r>
    </w:p>
    <w:p w14:paraId="1CDA2809" w14:textId="77777777" w:rsidR="005F52AE" w:rsidRDefault="005F52AE" w:rsidP="00D24540">
      <w:pPr>
        <w:pStyle w:val="InitialBodyCopy"/>
        <w:spacing w:after="0"/>
      </w:pPr>
    </w:p>
    <w:p w14:paraId="1B3891B3" w14:textId="363D06C8" w:rsidR="005F52AE" w:rsidRPr="007A6EE0" w:rsidRDefault="005F52AE">
      <w:pPr>
        <w:pStyle w:val="InitialTitle"/>
      </w:pPr>
      <w:bookmarkStart w:id="9" w:name="TofR"/>
      <w:bookmarkStart w:id="10" w:name="_Toc194052231"/>
      <w:bookmarkStart w:id="11" w:name="AllTofR"/>
      <w:bookmarkEnd w:id="7"/>
      <w:bookmarkEnd w:id="9"/>
      <w:r w:rsidRPr="007A6EE0">
        <w:t>Terms of reference</w:t>
      </w:r>
      <w:bookmarkEnd w:id="10"/>
    </w:p>
    <w:p w14:paraId="643A463C" w14:textId="77777777" w:rsidR="005F52AE" w:rsidRDefault="005F52AE">
      <w:pPr>
        <w:pStyle w:val="InitialTofRNumbering"/>
        <w:numPr>
          <w:ilvl w:val="0"/>
          <w:numId w:val="0"/>
        </w:numPr>
        <w:ind w:left="567" w:hanging="567"/>
      </w:pPr>
      <w:r>
        <w:t>That the committee inquire into and report on the 2024 Annual Report of the Net Zero Commission.</w:t>
      </w:r>
    </w:p>
    <w:p w14:paraId="2AA54D35" w14:textId="77777777" w:rsidR="005F52AE" w:rsidRDefault="005F52AE">
      <w:pPr>
        <w:pStyle w:val="InitialTofRNumbering"/>
        <w:numPr>
          <w:ilvl w:val="0"/>
          <w:numId w:val="0"/>
        </w:numPr>
        <w:ind w:left="567" w:hanging="567"/>
      </w:pPr>
    </w:p>
    <w:p w14:paraId="228FA2D4" w14:textId="23892E6C" w:rsidR="005F52AE" w:rsidRDefault="005F52AE">
      <w:pPr>
        <w:pStyle w:val="InitialBodyCopy"/>
      </w:pPr>
      <w:r w:rsidRPr="002636E9">
        <w:t xml:space="preserve">The terms of reference were </w:t>
      </w:r>
      <w:r>
        <w:t>self-</w:t>
      </w:r>
      <w:r w:rsidRPr="002636E9">
        <w:t xml:space="preserve">referred </w:t>
      </w:r>
      <w:r>
        <w:t>by</w:t>
      </w:r>
      <w:r w:rsidRPr="002636E9">
        <w:t xml:space="preserve"> the committee on </w:t>
      </w:r>
      <w:r>
        <w:t>13 December 2024</w:t>
      </w:r>
      <w:r w:rsidRPr="002636E9">
        <w:t>.</w:t>
      </w:r>
      <w:r w:rsidR="00855F2E">
        <w:rPr>
          <w:rFonts w:ascii="ZWAdobeF" w:hAnsi="ZWAdobeF" w:cs="ZWAdobeF"/>
          <w:sz w:val="2"/>
          <w:szCs w:val="2"/>
        </w:rPr>
        <w:t>0F</w:t>
      </w:r>
      <w:r>
        <w:rPr>
          <w:rStyle w:val="FootnoteReference"/>
        </w:rPr>
        <w:footnoteReference w:id="2"/>
      </w:r>
    </w:p>
    <w:p w14:paraId="7B6657CF" w14:textId="77777777" w:rsidR="005F52AE" w:rsidRDefault="005F52AE">
      <w:pPr>
        <w:pStyle w:val="InitialTitle"/>
      </w:pPr>
      <w:bookmarkStart w:id="12" w:name="CommitteeMShip"/>
      <w:bookmarkStart w:id="13" w:name="_Toc455661392"/>
      <w:bookmarkStart w:id="14" w:name="AllCommMShip"/>
      <w:bookmarkEnd w:id="11"/>
      <w:bookmarkEnd w:id="12"/>
      <w:r>
        <w:br w:type="page"/>
      </w:r>
      <w:bookmarkStart w:id="15" w:name="_Toc194052232"/>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5F52AE" w:rsidRPr="00F95F6F" w14:paraId="5B9BB61D" w14:textId="77777777" w:rsidTr="002A0A23">
        <w:tc>
          <w:tcPr>
            <w:tcW w:w="9639" w:type="dxa"/>
            <w:gridSpan w:val="4"/>
            <w:tcBorders>
              <w:top w:val="single" w:sz="8" w:space="0" w:color="auto"/>
              <w:bottom w:val="single" w:sz="4" w:space="0" w:color="auto"/>
            </w:tcBorders>
            <w:shd w:val="clear" w:color="auto" w:fill="auto"/>
          </w:tcPr>
          <w:p w14:paraId="20439444" w14:textId="77777777" w:rsidR="005F52AE" w:rsidRPr="00F95F6F" w:rsidRDefault="005F52AE">
            <w:pPr>
              <w:spacing w:before="60" w:after="60"/>
              <w:ind w:left="-108"/>
              <w:rPr>
                <w:b/>
                <w:sz w:val="24"/>
              </w:rPr>
            </w:pPr>
            <w:r>
              <w:rPr>
                <w:b/>
                <w:sz w:val="28"/>
              </w:rPr>
              <w:t>Committee members</w:t>
            </w:r>
          </w:p>
        </w:tc>
      </w:tr>
      <w:tr w:rsidR="005F52AE" w:rsidRPr="00B15622" w14:paraId="01CF7615" w14:textId="77777777" w:rsidTr="002A0A23">
        <w:tc>
          <w:tcPr>
            <w:tcW w:w="567" w:type="dxa"/>
            <w:tcBorders>
              <w:top w:val="single" w:sz="4" w:space="0" w:color="auto"/>
              <w:bottom w:val="single" w:sz="4" w:space="0" w:color="auto"/>
            </w:tcBorders>
            <w:shd w:val="clear" w:color="auto" w:fill="auto"/>
          </w:tcPr>
          <w:p w14:paraId="7FA66653" w14:textId="77777777" w:rsidR="005F52AE" w:rsidRPr="00B15622" w:rsidRDefault="005F52AE">
            <w:pPr>
              <w:spacing w:after="120"/>
              <w:rPr>
                <w:sz w:val="24"/>
              </w:rPr>
            </w:pPr>
          </w:p>
        </w:tc>
        <w:tc>
          <w:tcPr>
            <w:tcW w:w="4395" w:type="dxa"/>
            <w:shd w:val="clear" w:color="auto" w:fill="auto"/>
          </w:tcPr>
          <w:p w14:paraId="2DB07EA8" w14:textId="77777777" w:rsidR="005F52AE" w:rsidRPr="00B15622" w:rsidRDefault="005F52AE">
            <w:pPr>
              <w:spacing w:before="60" w:after="60"/>
              <w:rPr>
                <w:b/>
                <w:sz w:val="24"/>
              </w:rPr>
            </w:pPr>
            <w:r w:rsidRPr="00B15622">
              <w:rPr>
                <w:b/>
                <w:sz w:val="24"/>
              </w:rPr>
              <w:t>Hon</w:t>
            </w:r>
            <w:r>
              <w:rPr>
                <w:b/>
                <w:sz w:val="24"/>
              </w:rPr>
              <w:t xml:space="preserve"> Jeremy Buckingham</w:t>
            </w:r>
            <w:r w:rsidRPr="00B15622">
              <w:rPr>
                <w:b/>
                <w:sz w:val="24"/>
              </w:rPr>
              <w:t xml:space="preserve"> MLC</w:t>
            </w:r>
          </w:p>
        </w:tc>
        <w:tc>
          <w:tcPr>
            <w:tcW w:w="3118" w:type="dxa"/>
            <w:shd w:val="clear" w:color="auto" w:fill="auto"/>
            <w:vAlign w:val="center"/>
          </w:tcPr>
          <w:p w14:paraId="66F7BA49" w14:textId="77777777" w:rsidR="005F52AE" w:rsidRPr="00B15622" w:rsidRDefault="005F52AE">
            <w:pPr>
              <w:spacing w:before="60" w:after="60"/>
              <w:ind w:left="-108"/>
              <w:rPr>
                <w:sz w:val="24"/>
              </w:rPr>
            </w:pPr>
            <w:r>
              <w:rPr>
                <w:sz w:val="24"/>
              </w:rPr>
              <w:t>Legalise Cannabis Party</w:t>
            </w:r>
          </w:p>
        </w:tc>
        <w:tc>
          <w:tcPr>
            <w:tcW w:w="1559" w:type="dxa"/>
            <w:shd w:val="clear" w:color="auto" w:fill="auto"/>
          </w:tcPr>
          <w:p w14:paraId="48B278C2" w14:textId="77777777" w:rsidR="005F52AE" w:rsidRPr="00B15622" w:rsidRDefault="005F52AE">
            <w:pPr>
              <w:spacing w:before="60" w:after="60"/>
              <w:ind w:left="-108"/>
              <w:rPr>
                <w:i/>
                <w:sz w:val="24"/>
              </w:rPr>
            </w:pPr>
            <w:r w:rsidRPr="00B15622">
              <w:rPr>
                <w:i/>
                <w:sz w:val="24"/>
              </w:rPr>
              <w:t>Chair</w:t>
            </w:r>
          </w:p>
        </w:tc>
      </w:tr>
      <w:tr w:rsidR="005F52AE" w:rsidRPr="00B15622" w14:paraId="72412412" w14:textId="77777777" w:rsidTr="002A0A23">
        <w:tc>
          <w:tcPr>
            <w:tcW w:w="567" w:type="dxa"/>
            <w:tcBorders>
              <w:top w:val="single" w:sz="4" w:space="0" w:color="auto"/>
              <w:bottom w:val="single" w:sz="4" w:space="0" w:color="auto"/>
            </w:tcBorders>
            <w:shd w:val="clear" w:color="auto" w:fill="auto"/>
          </w:tcPr>
          <w:p w14:paraId="0EF1C1AC" w14:textId="77777777" w:rsidR="005F52AE" w:rsidRPr="00B15622" w:rsidRDefault="005F52AE">
            <w:pPr>
              <w:spacing w:after="120"/>
              <w:rPr>
                <w:sz w:val="24"/>
              </w:rPr>
            </w:pPr>
          </w:p>
        </w:tc>
        <w:tc>
          <w:tcPr>
            <w:tcW w:w="4395" w:type="dxa"/>
            <w:shd w:val="clear" w:color="auto" w:fill="auto"/>
          </w:tcPr>
          <w:p w14:paraId="6B9FA63F" w14:textId="77777777" w:rsidR="005F52AE" w:rsidRPr="00B15622" w:rsidRDefault="005F52AE">
            <w:pPr>
              <w:spacing w:before="60" w:after="60"/>
              <w:rPr>
                <w:b/>
                <w:sz w:val="24"/>
              </w:rPr>
            </w:pPr>
            <w:r>
              <w:rPr>
                <w:b/>
                <w:sz w:val="24"/>
              </w:rPr>
              <w:t xml:space="preserve">Ms Liza Butler </w:t>
            </w:r>
            <w:r w:rsidRPr="00B15622">
              <w:rPr>
                <w:b/>
                <w:sz w:val="24"/>
              </w:rPr>
              <w:t>M</w:t>
            </w:r>
            <w:r>
              <w:rPr>
                <w:b/>
                <w:sz w:val="24"/>
              </w:rPr>
              <w:t>P</w:t>
            </w:r>
          </w:p>
        </w:tc>
        <w:tc>
          <w:tcPr>
            <w:tcW w:w="3118" w:type="dxa"/>
            <w:shd w:val="clear" w:color="auto" w:fill="auto"/>
            <w:vAlign w:val="center"/>
          </w:tcPr>
          <w:p w14:paraId="66B9A9A8" w14:textId="77777777" w:rsidR="005F52AE" w:rsidRPr="00B15622" w:rsidRDefault="005F52AE">
            <w:pPr>
              <w:spacing w:before="60" w:after="60"/>
              <w:ind w:left="-108"/>
              <w:rPr>
                <w:sz w:val="24"/>
              </w:rPr>
            </w:pPr>
            <w:r>
              <w:rPr>
                <w:sz w:val="24"/>
              </w:rPr>
              <w:t>Australian Labor Party</w:t>
            </w:r>
          </w:p>
        </w:tc>
        <w:tc>
          <w:tcPr>
            <w:tcW w:w="1559" w:type="dxa"/>
            <w:shd w:val="clear" w:color="auto" w:fill="auto"/>
          </w:tcPr>
          <w:p w14:paraId="7BAE8C16" w14:textId="77777777" w:rsidR="005F52AE" w:rsidRPr="00B15622" w:rsidRDefault="005F52AE">
            <w:pPr>
              <w:spacing w:before="60" w:after="60"/>
              <w:ind w:left="-108"/>
              <w:rPr>
                <w:i/>
                <w:sz w:val="24"/>
              </w:rPr>
            </w:pPr>
            <w:r w:rsidRPr="00B15622">
              <w:rPr>
                <w:i/>
                <w:sz w:val="24"/>
              </w:rPr>
              <w:t>Deputy Chair</w:t>
            </w:r>
          </w:p>
        </w:tc>
      </w:tr>
      <w:tr w:rsidR="005F52AE" w:rsidRPr="00B15622" w14:paraId="76889361" w14:textId="77777777" w:rsidTr="002A0A23">
        <w:tc>
          <w:tcPr>
            <w:tcW w:w="567" w:type="dxa"/>
            <w:tcBorders>
              <w:top w:val="single" w:sz="4" w:space="0" w:color="auto"/>
              <w:bottom w:val="single" w:sz="4" w:space="0" w:color="auto"/>
            </w:tcBorders>
            <w:shd w:val="clear" w:color="auto" w:fill="auto"/>
          </w:tcPr>
          <w:p w14:paraId="4811BEF3" w14:textId="77777777" w:rsidR="005F52AE" w:rsidRPr="00B15622" w:rsidRDefault="005F52AE">
            <w:pPr>
              <w:spacing w:after="120"/>
              <w:rPr>
                <w:sz w:val="24"/>
              </w:rPr>
            </w:pPr>
          </w:p>
        </w:tc>
        <w:tc>
          <w:tcPr>
            <w:tcW w:w="4395" w:type="dxa"/>
            <w:shd w:val="clear" w:color="auto" w:fill="auto"/>
          </w:tcPr>
          <w:p w14:paraId="6BD74638" w14:textId="77777777" w:rsidR="005F52AE" w:rsidRPr="00B15622" w:rsidRDefault="005F52AE">
            <w:pPr>
              <w:spacing w:before="60" w:after="60"/>
              <w:rPr>
                <w:b/>
                <w:sz w:val="24"/>
              </w:rPr>
            </w:pPr>
            <w:r w:rsidRPr="00B15622">
              <w:rPr>
                <w:b/>
                <w:sz w:val="24"/>
              </w:rPr>
              <w:t xml:space="preserve">Hon </w:t>
            </w:r>
            <w:r>
              <w:rPr>
                <w:b/>
                <w:sz w:val="24"/>
              </w:rPr>
              <w:t xml:space="preserve">Mark Buttigieg </w:t>
            </w:r>
            <w:r w:rsidRPr="00B15622">
              <w:rPr>
                <w:b/>
                <w:sz w:val="24"/>
              </w:rPr>
              <w:t>MLC</w:t>
            </w:r>
          </w:p>
        </w:tc>
        <w:tc>
          <w:tcPr>
            <w:tcW w:w="3118" w:type="dxa"/>
            <w:shd w:val="clear" w:color="auto" w:fill="auto"/>
            <w:vAlign w:val="center"/>
          </w:tcPr>
          <w:p w14:paraId="3CADB94C" w14:textId="77777777" w:rsidR="005F52AE" w:rsidRPr="00B15622" w:rsidRDefault="005F52AE">
            <w:pPr>
              <w:spacing w:before="60" w:after="60"/>
              <w:ind w:left="-108"/>
              <w:rPr>
                <w:sz w:val="24"/>
              </w:rPr>
            </w:pPr>
            <w:r>
              <w:rPr>
                <w:sz w:val="24"/>
              </w:rPr>
              <w:t>Australian Labor Party</w:t>
            </w:r>
          </w:p>
        </w:tc>
        <w:tc>
          <w:tcPr>
            <w:tcW w:w="1559" w:type="dxa"/>
            <w:shd w:val="clear" w:color="auto" w:fill="auto"/>
          </w:tcPr>
          <w:p w14:paraId="6FAA6243" w14:textId="77777777" w:rsidR="005F52AE" w:rsidRPr="00B15622" w:rsidRDefault="005F52AE">
            <w:pPr>
              <w:spacing w:after="120"/>
              <w:rPr>
                <w:i/>
                <w:iCs/>
                <w:sz w:val="24"/>
              </w:rPr>
            </w:pPr>
          </w:p>
        </w:tc>
      </w:tr>
      <w:tr w:rsidR="005F52AE" w:rsidRPr="00B15622" w14:paraId="4F86ED18" w14:textId="77777777" w:rsidTr="002A0A23">
        <w:tc>
          <w:tcPr>
            <w:tcW w:w="567" w:type="dxa"/>
            <w:tcBorders>
              <w:top w:val="single" w:sz="4" w:space="0" w:color="auto"/>
              <w:bottom w:val="single" w:sz="4" w:space="0" w:color="auto"/>
            </w:tcBorders>
            <w:shd w:val="clear" w:color="auto" w:fill="auto"/>
          </w:tcPr>
          <w:p w14:paraId="708AF7EE" w14:textId="77777777" w:rsidR="005F52AE" w:rsidRPr="00B15622" w:rsidRDefault="005F52AE">
            <w:pPr>
              <w:spacing w:after="120"/>
              <w:rPr>
                <w:sz w:val="24"/>
              </w:rPr>
            </w:pPr>
          </w:p>
        </w:tc>
        <w:tc>
          <w:tcPr>
            <w:tcW w:w="4395" w:type="dxa"/>
            <w:shd w:val="clear" w:color="auto" w:fill="auto"/>
          </w:tcPr>
          <w:p w14:paraId="1E5663DE" w14:textId="77777777" w:rsidR="005F52AE" w:rsidRPr="00B15622" w:rsidRDefault="005F52AE">
            <w:pPr>
              <w:spacing w:before="60" w:after="60"/>
              <w:rPr>
                <w:b/>
                <w:sz w:val="24"/>
              </w:rPr>
            </w:pPr>
            <w:r>
              <w:rPr>
                <w:b/>
                <w:sz w:val="24"/>
              </w:rPr>
              <w:t xml:space="preserve">Ms Trish Doyle </w:t>
            </w:r>
            <w:r w:rsidRPr="00B15622">
              <w:rPr>
                <w:b/>
                <w:sz w:val="24"/>
              </w:rPr>
              <w:t>M</w:t>
            </w:r>
            <w:r>
              <w:rPr>
                <w:b/>
                <w:sz w:val="24"/>
              </w:rPr>
              <w:t>P</w:t>
            </w:r>
          </w:p>
        </w:tc>
        <w:tc>
          <w:tcPr>
            <w:tcW w:w="3118" w:type="dxa"/>
            <w:shd w:val="clear" w:color="auto" w:fill="auto"/>
            <w:vAlign w:val="center"/>
          </w:tcPr>
          <w:p w14:paraId="7341FF9B" w14:textId="77777777" w:rsidR="005F52AE" w:rsidRPr="00B15622" w:rsidRDefault="005F52AE">
            <w:pPr>
              <w:spacing w:before="60" w:after="60"/>
              <w:ind w:left="-108"/>
              <w:rPr>
                <w:sz w:val="24"/>
              </w:rPr>
            </w:pPr>
            <w:r>
              <w:rPr>
                <w:sz w:val="24"/>
              </w:rPr>
              <w:t>Australian Labor Party</w:t>
            </w:r>
          </w:p>
        </w:tc>
        <w:tc>
          <w:tcPr>
            <w:tcW w:w="1559" w:type="dxa"/>
            <w:shd w:val="clear" w:color="auto" w:fill="auto"/>
          </w:tcPr>
          <w:p w14:paraId="45F7D3D8" w14:textId="77777777" w:rsidR="005F52AE" w:rsidRPr="00B15622" w:rsidRDefault="005F52AE">
            <w:pPr>
              <w:spacing w:after="120"/>
              <w:rPr>
                <w:sz w:val="24"/>
              </w:rPr>
            </w:pPr>
          </w:p>
        </w:tc>
      </w:tr>
      <w:tr w:rsidR="005F52AE" w:rsidRPr="00B15622" w14:paraId="6968CBED" w14:textId="77777777" w:rsidTr="002A0A23">
        <w:tc>
          <w:tcPr>
            <w:tcW w:w="567" w:type="dxa"/>
            <w:tcBorders>
              <w:top w:val="single" w:sz="4" w:space="0" w:color="auto"/>
              <w:bottom w:val="single" w:sz="4" w:space="0" w:color="auto"/>
            </w:tcBorders>
            <w:shd w:val="clear" w:color="auto" w:fill="auto"/>
          </w:tcPr>
          <w:p w14:paraId="06429394" w14:textId="77777777" w:rsidR="005F52AE" w:rsidRPr="00B15622" w:rsidRDefault="005F52AE">
            <w:pPr>
              <w:spacing w:after="120"/>
              <w:rPr>
                <w:sz w:val="24"/>
              </w:rPr>
            </w:pPr>
          </w:p>
        </w:tc>
        <w:tc>
          <w:tcPr>
            <w:tcW w:w="4395" w:type="dxa"/>
            <w:shd w:val="clear" w:color="auto" w:fill="auto"/>
          </w:tcPr>
          <w:p w14:paraId="432450C9" w14:textId="77777777" w:rsidR="005F52AE" w:rsidRPr="00B15622" w:rsidRDefault="005F52AE">
            <w:pPr>
              <w:spacing w:before="60" w:after="60"/>
              <w:rPr>
                <w:b/>
                <w:sz w:val="24"/>
              </w:rPr>
            </w:pPr>
            <w:r w:rsidRPr="00B15622">
              <w:rPr>
                <w:b/>
                <w:sz w:val="24"/>
              </w:rPr>
              <w:t xml:space="preserve">Hon </w:t>
            </w:r>
            <w:r>
              <w:rPr>
                <w:b/>
                <w:sz w:val="24"/>
              </w:rPr>
              <w:t xml:space="preserve">Wes Fang </w:t>
            </w:r>
            <w:r w:rsidRPr="00B15622">
              <w:rPr>
                <w:b/>
                <w:sz w:val="24"/>
              </w:rPr>
              <w:t>MLC</w:t>
            </w:r>
          </w:p>
        </w:tc>
        <w:tc>
          <w:tcPr>
            <w:tcW w:w="3118" w:type="dxa"/>
            <w:shd w:val="clear" w:color="auto" w:fill="auto"/>
            <w:vAlign w:val="center"/>
          </w:tcPr>
          <w:p w14:paraId="633BF573" w14:textId="77777777" w:rsidR="005F52AE" w:rsidRPr="00B15622" w:rsidRDefault="005F52AE">
            <w:pPr>
              <w:spacing w:before="60" w:after="60"/>
              <w:ind w:left="-108"/>
              <w:rPr>
                <w:sz w:val="24"/>
              </w:rPr>
            </w:pPr>
            <w:r>
              <w:rPr>
                <w:sz w:val="24"/>
              </w:rPr>
              <w:t>The Nationals</w:t>
            </w:r>
          </w:p>
        </w:tc>
        <w:tc>
          <w:tcPr>
            <w:tcW w:w="1559" w:type="dxa"/>
            <w:shd w:val="clear" w:color="auto" w:fill="auto"/>
          </w:tcPr>
          <w:p w14:paraId="0E443318" w14:textId="77777777" w:rsidR="005F52AE" w:rsidRPr="00B15622" w:rsidRDefault="005F52AE">
            <w:pPr>
              <w:spacing w:after="120"/>
              <w:rPr>
                <w:sz w:val="24"/>
              </w:rPr>
            </w:pPr>
          </w:p>
        </w:tc>
      </w:tr>
      <w:tr w:rsidR="005F52AE" w:rsidRPr="00B15622" w14:paraId="3DBCD885" w14:textId="77777777" w:rsidTr="002A0A23">
        <w:tc>
          <w:tcPr>
            <w:tcW w:w="567" w:type="dxa"/>
            <w:tcBorders>
              <w:top w:val="single" w:sz="4" w:space="0" w:color="auto"/>
              <w:bottom w:val="single" w:sz="4" w:space="0" w:color="auto"/>
            </w:tcBorders>
            <w:shd w:val="clear" w:color="auto" w:fill="auto"/>
          </w:tcPr>
          <w:p w14:paraId="74642361" w14:textId="77777777" w:rsidR="005F52AE" w:rsidRPr="00B15622" w:rsidRDefault="005F52AE">
            <w:pPr>
              <w:spacing w:after="120"/>
              <w:rPr>
                <w:b/>
                <w:bCs/>
                <w:sz w:val="24"/>
              </w:rPr>
            </w:pPr>
          </w:p>
        </w:tc>
        <w:tc>
          <w:tcPr>
            <w:tcW w:w="4395" w:type="dxa"/>
            <w:shd w:val="clear" w:color="auto" w:fill="auto"/>
            <w:vAlign w:val="center"/>
          </w:tcPr>
          <w:p w14:paraId="40AE29BD" w14:textId="77777777" w:rsidR="005F52AE" w:rsidRPr="00B15622" w:rsidRDefault="005F52AE">
            <w:pPr>
              <w:spacing w:before="60" w:after="60"/>
              <w:rPr>
                <w:b/>
                <w:bCs/>
                <w:sz w:val="24"/>
              </w:rPr>
            </w:pPr>
            <w:bookmarkStart w:id="16" w:name="CommMshipName"/>
            <w:bookmarkEnd w:id="16"/>
            <w:r>
              <w:rPr>
                <w:b/>
                <w:sz w:val="24"/>
              </w:rPr>
              <w:t xml:space="preserve">Mr James Griffin </w:t>
            </w:r>
            <w:r w:rsidRPr="00B15622">
              <w:rPr>
                <w:b/>
                <w:sz w:val="24"/>
              </w:rPr>
              <w:t>M</w:t>
            </w:r>
            <w:r>
              <w:rPr>
                <w:b/>
                <w:sz w:val="24"/>
              </w:rPr>
              <w:t>P</w:t>
            </w:r>
          </w:p>
        </w:tc>
        <w:tc>
          <w:tcPr>
            <w:tcW w:w="3118" w:type="dxa"/>
            <w:shd w:val="clear" w:color="auto" w:fill="auto"/>
            <w:vAlign w:val="center"/>
          </w:tcPr>
          <w:p w14:paraId="748407E8" w14:textId="77777777" w:rsidR="005F52AE" w:rsidRPr="00B15622" w:rsidRDefault="005F52AE">
            <w:pPr>
              <w:spacing w:before="60" w:after="60"/>
              <w:ind w:left="-108"/>
              <w:rPr>
                <w:sz w:val="24"/>
              </w:rPr>
            </w:pPr>
            <w:bookmarkStart w:id="17" w:name="CommMshipAffiliation"/>
            <w:bookmarkEnd w:id="17"/>
            <w:r>
              <w:rPr>
                <w:sz w:val="24"/>
              </w:rPr>
              <w:t xml:space="preserve">Liberal </w:t>
            </w:r>
            <w:r w:rsidRPr="00B15622">
              <w:rPr>
                <w:sz w:val="24"/>
              </w:rPr>
              <w:t>Party</w:t>
            </w:r>
          </w:p>
        </w:tc>
        <w:tc>
          <w:tcPr>
            <w:tcW w:w="1559" w:type="dxa"/>
            <w:shd w:val="clear" w:color="auto" w:fill="auto"/>
          </w:tcPr>
          <w:p w14:paraId="08303DBB" w14:textId="77777777" w:rsidR="005F52AE" w:rsidRPr="00B15622" w:rsidRDefault="005F52AE">
            <w:pPr>
              <w:spacing w:after="120"/>
              <w:rPr>
                <w:b/>
                <w:bCs/>
                <w:i/>
                <w:sz w:val="24"/>
              </w:rPr>
            </w:pPr>
            <w:bookmarkStart w:id="18" w:name="CommMshipTitle"/>
            <w:bookmarkEnd w:id="18"/>
          </w:p>
        </w:tc>
      </w:tr>
      <w:tr w:rsidR="005F52AE" w:rsidRPr="00B15622" w14:paraId="73222CA2" w14:textId="77777777" w:rsidTr="002A0A23">
        <w:tc>
          <w:tcPr>
            <w:tcW w:w="567" w:type="dxa"/>
            <w:tcBorders>
              <w:top w:val="single" w:sz="4" w:space="0" w:color="auto"/>
              <w:bottom w:val="single" w:sz="4" w:space="0" w:color="auto"/>
            </w:tcBorders>
            <w:shd w:val="clear" w:color="auto" w:fill="auto"/>
          </w:tcPr>
          <w:p w14:paraId="10CB38E4" w14:textId="77777777" w:rsidR="005F52AE" w:rsidRPr="00B15622" w:rsidRDefault="005F52AE">
            <w:pPr>
              <w:spacing w:after="120"/>
              <w:rPr>
                <w:b/>
                <w:bCs/>
                <w:sz w:val="24"/>
              </w:rPr>
            </w:pPr>
          </w:p>
        </w:tc>
        <w:tc>
          <w:tcPr>
            <w:tcW w:w="4395" w:type="dxa"/>
            <w:shd w:val="clear" w:color="auto" w:fill="auto"/>
            <w:vAlign w:val="center"/>
          </w:tcPr>
          <w:p w14:paraId="5F523CBF" w14:textId="77777777" w:rsidR="005F52AE" w:rsidRDefault="005F52AE">
            <w:pPr>
              <w:spacing w:before="60" w:after="60"/>
              <w:rPr>
                <w:b/>
                <w:sz w:val="24"/>
              </w:rPr>
            </w:pPr>
            <w:r>
              <w:rPr>
                <w:b/>
                <w:sz w:val="24"/>
              </w:rPr>
              <w:t>Ms Sue Higginson MLC</w:t>
            </w:r>
          </w:p>
        </w:tc>
        <w:tc>
          <w:tcPr>
            <w:tcW w:w="3118" w:type="dxa"/>
            <w:shd w:val="clear" w:color="auto" w:fill="auto"/>
            <w:vAlign w:val="center"/>
          </w:tcPr>
          <w:p w14:paraId="70F154E2" w14:textId="77777777" w:rsidR="005F52AE" w:rsidRDefault="005F52AE">
            <w:pPr>
              <w:spacing w:before="60" w:after="60"/>
              <w:ind w:left="-108"/>
              <w:rPr>
                <w:sz w:val="24"/>
              </w:rPr>
            </w:pPr>
            <w:r>
              <w:rPr>
                <w:sz w:val="24"/>
              </w:rPr>
              <w:t>The Greens</w:t>
            </w:r>
          </w:p>
        </w:tc>
        <w:tc>
          <w:tcPr>
            <w:tcW w:w="1559" w:type="dxa"/>
            <w:shd w:val="clear" w:color="auto" w:fill="auto"/>
          </w:tcPr>
          <w:p w14:paraId="755258B6" w14:textId="77777777" w:rsidR="005F52AE" w:rsidRPr="00B15622" w:rsidRDefault="005F52AE">
            <w:pPr>
              <w:spacing w:after="120"/>
              <w:rPr>
                <w:b/>
                <w:bCs/>
                <w:i/>
                <w:sz w:val="24"/>
              </w:rPr>
            </w:pPr>
          </w:p>
        </w:tc>
      </w:tr>
      <w:tr w:rsidR="005F52AE" w:rsidRPr="00B15622" w14:paraId="14F204BB" w14:textId="77777777" w:rsidTr="002A0A23">
        <w:tc>
          <w:tcPr>
            <w:tcW w:w="567" w:type="dxa"/>
            <w:tcBorders>
              <w:top w:val="single" w:sz="4" w:space="0" w:color="auto"/>
              <w:bottom w:val="single" w:sz="4" w:space="0" w:color="auto"/>
            </w:tcBorders>
            <w:shd w:val="clear" w:color="auto" w:fill="auto"/>
          </w:tcPr>
          <w:p w14:paraId="01174010" w14:textId="77777777" w:rsidR="005F52AE" w:rsidRPr="00B15622" w:rsidRDefault="005F52AE">
            <w:pPr>
              <w:spacing w:after="120"/>
              <w:rPr>
                <w:b/>
                <w:bCs/>
                <w:sz w:val="24"/>
              </w:rPr>
            </w:pPr>
          </w:p>
        </w:tc>
        <w:tc>
          <w:tcPr>
            <w:tcW w:w="4395" w:type="dxa"/>
            <w:shd w:val="clear" w:color="auto" w:fill="auto"/>
            <w:vAlign w:val="center"/>
          </w:tcPr>
          <w:p w14:paraId="74014701" w14:textId="77777777" w:rsidR="005F52AE" w:rsidRDefault="005F52AE">
            <w:pPr>
              <w:spacing w:before="60" w:after="60"/>
              <w:rPr>
                <w:b/>
                <w:sz w:val="24"/>
              </w:rPr>
            </w:pPr>
            <w:r>
              <w:rPr>
                <w:b/>
                <w:sz w:val="24"/>
              </w:rPr>
              <w:t>Hon Jacqui Munro MLC</w:t>
            </w:r>
          </w:p>
        </w:tc>
        <w:tc>
          <w:tcPr>
            <w:tcW w:w="3118" w:type="dxa"/>
            <w:shd w:val="clear" w:color="auto" w:fill="auto"/>
            <w:vAlign w:val="center"/>
          </w:tcPr>
          <w:p w14:paraId="700DDD1C" w14:textId="77777777" w:rsidR="005F52AE" w:rsidRDefault="005F52AE">
            <w:pPr>
              <w:spacing w:before="60" w:after="60"/>
              <w:ind w:left="-108"/>
              <w:rPr>
                <w:sz w:val="24"/>
              </w:rPr>
            </w:pPr>
            <w:r>
              <w:rPr>
                <w:sz w:val="24"/>
              </w:rPr>
              <w:t>Liberal Party</w:t>
            </w:r>
          </w:p>
        </w:tc>
        <w:tc>
          <w:tcPr>
            <w:tcW w:w="1559" w:type="dxa"/>
            <w:shd w:val="clear" w:color="auto" w:fill="auto"/>
          </w:tcPr>
          <w:p w14:paraId="5EE86831" w14:textId="77777777" w:rsidR="005F52AE" w:rsidRPr="00B15622" w:rsidRDefault="005F52AE">
            <w:pPr>
              <w:spacing w:after="120"/>
              <w:rPr>
                <w:b/>
                <w:bCs/>
                <w:i/>
                <w:sz w:val="24"/>
              </w:rPr>
            </w:pPr>
          </w:p>
        </w:tc>
      </w:tr>
      <w:tr w:rsidR="005F52AE" w:rsidRPr="00B15622" w14:paraId="214B2FFD" w14:textId="77777777" w:rsidTr="002A0A23">
        <w:tc>
          <w:tcPr>
            <w:tcW w:w="567" w:type="dxa"/>
            <w:tcBorders>
              <w:top w:val="single" w:sz="4" w:space="0" w:color="auto"/>
              <w:bottom w:val="single" w:sz="4" w:space="0" w:color="auto"/>
            </w:tcBorders>
            <w:shd w:val="clear" w:color="auto" w:fill="auto"/>
          </w:tcPr>
          <w:p w14:paraId="23AC471D" w14:textId="77777777" w:rsidR="005F52AE" w:rsidRPr="00B15622" w:rsidRDefault="005F52AE">
            <w:pPr>
              <w:spacing w:after="120"/>
              <w:rPr>
                <w:b/>
                <w:bCs/>
                <w:sz w:val="24"/>
              </w:rPr>
            </w:pPr>
          </w:p>
        </w:tc>
        <w:tc>
          <w:tcPr>
            <w:tcW w:w="4395" w:type="dxa"/>
            <w:shd w:val="clear" w:color="auto" w:fill="auto"/>
            <w:vAlign w:val="center"/>
          </w:tcPr>
          <w:p w14:paraId="2330DA76" w14:textId="77777777" w:rsidR="005F52AE" w:rsidRDefault="005F52AE">
            <w:pPr>
              <w:spacing w:before="60" w:after="60"/>
              <w:rPr>
                <w:b/>
                <w:sz w:val="24"/>
              </w:rPr>
            </w:pPr>
            <w:r>
              <w:rPr>
                <w:b/>
                <w:sz w:val="24"/>
              </w:rPr>
              <w:t>Hon Cameron Murphy MLC</w:t>
            </w:r>
          </w:p>
        </w:tc>
        <w:tc>
          <w:tcPr>
            <w:tcW w:w="3118" w:type="dxa"/>
            <w:shd w:val="clear" w:color="auto" w:fill="auto"/>
            <w:vAlign w:val="center"/>
          </w:tcPr>
          <w:p w14:paraId="243999D1" w14:textId="77777777" w:rsidR="005F52AE" w:rsidRDefault="005F52AE">
            <w:pPr>
              <w:spacing w:before="60" w:after="60"/>
              <w:ind w:left="-108"/>
              <w:rPr>
                <w:sz w:val="24"/>
              </w:rPr>
            </w:pPr>
            <w:r>
              <w:rPr>
                <w:sz w:val="24"/>
              </w:rPr>
              <w:t>Australian Labor Party</w:t>
            </w:r>
          </w:p>
        </w:tc>
        <w:tc>
          <w:tcPr>
            <w:tcW w:w="1559" w:type="dxa"/>
            <w:shd w:val="clear" w:color="auto" w:fill="auto"/>
          </w:tcPr>
          <w:p w14:paraId="50CE9C33" w14:textId="77777777" w:rsidR="005F52AE" w:rsidRPr="00B15622" w:rsidRDefault="005F52AE">
            <w:pPr>
              <w:spacing w:after="120"/>
              <w:rPr>
                <w:b/>
                <w:bCs/>
                <w:i/>
                <w:sz w:val="24"/>
              </w:rPr>
            </w:pPr>
          </w:p>
        </w:tc>
      </w:tr>
      <w:tr w:rsidR="005F52AE" w:rsidRPr="00B15622" w14:paraId="42E8D003" w14:textId="77777777" w:rsidTr="002A0A23">
        <w:tc>
          <w:tcPr>
            <w:tcW w:w="567" w:type="dxa"/>
            <w:tcBorders>
              <w:top w:val="single" w:sz="4" w:space="0" w:color="auto"/>
              <w:bottom w:val="single" w:sz="4" w:space="0" w:color="auto"/>
            </w:tcBorders>
            <w:shd w:val="clear" w:color="auto" w:fill="auto"/>
          </w:tcPr>
          <w:p w14:paraId="5C7CC01F" w14:textId="77777777" w:rsidR="005F52AE" w:rsidRPr="00B15622" w:rsidRDefault="005F52AE">
            <w:pPr>
              <w:spacing w:after="120"/>
              <w:rPr>
                <w:b/>
                <w:bCs/>
                <w:sz w:val="24"/>
              </w:rPr>
            </w:pPr>
          </w:p>
        </w:tc>
        <w:tc>
          <w:tcPr>
            <w:tcW w:w="4395" w:type="dxa"/>
            <w:shd w:val="clear" w:color="auto" w:fill="auto"/>
            <w:vAlign w:val="center"/>
          </w:tcPr>
          <w:p w14:paraId="38E33C7B" w14:textId="77777777" w:rsidR="005F52AE" w:rsidRDefault="005F52AE">
            <w:pPr>
              <w:spacing w:before="60" w:after="60"/>
              <w:rPr>
                <w:b/>
                <w:sz w:val="24"/>
              </w:rPr>
            </w:pPr>
            <w:r>
              <w:rPr>
                <w:b/>
                <w:sz w:val="24"/>
              </w:rPr>
              <w:t>Mr Michael Regan MP</w:t>
            </w:r>
          </w:p>
        </w:tc>
        <w:tc>
          <w:tcPr>
            <w:tcW w:w="3118" w:type="dxa"/>
            <w:shd w:val="clear" w:color="auto" w:fill="auto"/>
            <w:vAlign w:val="center"/>
          </w:tcPr>
          <w:p w14:paraId="0093FEA6" w14:textId="77777777" w:rsidR="005F52AE" w:rsidRDefault="005F52AE">
            <w:pPr>
              <w:spacing w:before="60" w:after="60"/>
              <w:ind w:left="-108"/>
              <w:rPr>
                <w:sz w:val="24"/>
              </w:rPr>
            </w:pPr>
            <w:r>
              <w:rPr>
                <w:sz w:val="24"/>
              </w:rPr>
              <w:t>Independent</w:t>
            </w:r>
          </w:p>
        </w:tc>
        <w:tc>
          <w:tcPr>
            <w:tcW w:w="1559" w:type="dxa"/>
            <w:shd w:val="clear" w:color="auto" w:fill="auto"/>
          </w:tcPr>
          <w:p w14:paraId="489CD01D" w14:textId="77777777" w:rsidR="005F52AE" w:rsidRPr="00B15622" w:rsidRDefault="005F52AE">
            <w:pPr>
              <w:spacing w:after="120"/>
              <w:rPr>
                <w:b/>
                <w:bCs/>
                <w:i/>
                <w:sz w:val="24"/>
              </w:rPr>
            </w:pPr>
          </w:p>
        </w:tc>
      </w:tr>
      <w:tr w:rsidR="005F52AE" w:rsidRPr="00B15622" w14:paraId="29AAB076" w14:textId="77777777" w:rsidTr="002A0A23">
        <w:tc>
          <w:tcPr>
            <w:tcW w:w="567" w:type="dxa"/>
            <w:tcBorders>
              <w:top w:val="single" w:sz="4" w:space="0" w:color="auto"/>
              <w:bottom w:val="single" w:sz="4" w:space="0" w:color="auto"/>
            </w:tcBorders>
            <w:shd w:val="clear" w:color="auto" w:fill="auto"/>
          </w:tcPr>
          <w:p w14:paraId="7880E278" w14:textId="77777777" w:rsidR="005F52AE" w:rsidRPr="00B15622" w:rsidRDefault="005F52AE">
            <w:pPr>
              <w:spacing w:after="120"/>
              <w:rPr>
                <w:b/>
                <w:bCs/>
                <w:sz w:val="24"/>
              </w:rPr>
            </w:pPr>
          </w:p>
        </w:tc>
        <w:tc>
          <w:tcPr>
            <w:tcW w:w="4395" w:type="dxa"/>
            <w:shd w:val="clear" w:color="auto" w:fill="auto"/>
            <w:vAlign w:val="center"/>
          </w:tcPr>
          <w:p w14:paraId="037D1E91" w14:textId="77777777" w:rsidR="005F52AE" w:rsidRDefault="005F52AE">
            <w:pPr>
              <w:spacing w:before="60" w:after="60"/>
              <w:rPr>
                <w:b/>
                <w:sz w:val="24"/>
              </w:rPr>
            </w:pPr>
            <w:r>
              <w:rPr>
                <w:b/>
                <w:sz w:val="24"/>
              </w:rPr>
              <w:t>Hon Emily Suvaal MLC</w:t>
            </w:r>
          </w:p>
        </w:tc>
        <w:tc>
          <w:tcPr>
            <w:tcW w:w="3118" w:type="dxa"/>
            <w:shd w:val="clear" w:color="auto" w:fill="auto"/>
            <w:vAlign w:val="center"/>
          </w:tcPr>
          <w:p w14:paraId="720A55A6" w14:textId="77777777" w:rsidR="005F52AE" w:rsidRDefault="005F52AE">
            <w:pPr>
              <w:spacing w:before="60" w:after="60"/>
              <w:ind w:left="-108"/>
              <w:rPr>
                <w:sz w:val="24"/>
              </w:rPr>
            </w:pPr>
            <w:r>
              <w:rPr>
                <w:sz w:val="24"/>
              </w:rPr>
              <w:t>Australian Labor Party</w:t>
            </w:r>
          </w:p>
        </w:tc>
        <w:tc>
          <w:tcPr>
            <w:tcW w:w="1559" w:type="dxa"/>
            <w:shd w:val="clear" w:color="auto" w:fill="auto"/>
          </w:tcPr>
          <w:p w14:paraId="1184AB42" w14:textId="77777777" w:rsidR="005F52AE" w:rsidRPr="00B15622" w:rsidRDefault="005F52AE">
            <w:pPr>
              <w:spacing w:after="120"/>
              <w:rPr>
                <w:b/>
                <w:bCs/>
                <w:i/>
                <w:sz w:val="24"/>
              </w:rPr>
            </w:pPr>
          </w:p>
        </w:tc>
      </w:tr>
      <w:tr w:rsidR="005F52AE" w:rsidRPr="00B15622" w14:paraId="254725E2" w14:textId="77777777" w:rsidTr="002A0A23">
        <w:tc>
          <w:tcPr>
            <w:tcW w:w="567" w:type="dxa"/>
            <w:tcBorders>
              <w:top w:val="single" w:sz="4" w:space="0" w:color="auto"/>
              <w:bottom w:val="single" w:sz="4" w:space="0" w:color="auto"/>
            </w:tcBorders>
            <w:shd w:val="clear" w:color="auto" w:fill="auto"/>
          </w:tcPr>
          <w:p w14:paraId="14405C29" w14:textId="77777777" w:rsidR="005F52AE" w:rsidRPr="00B15622" w:rsidRDefault="005F52AE">
            <w:pPr>
              <w:spacing w:after="120"/>
              <w:rPr>
                <w:b/>
                <w:bCs/>
                <w:sz w:val="24"/>
              </w:rPr>
            </w:pPr>
          </w:p>
        </w:tc>
        <w:tc>
          <w:tcPr>
            <w:tcW w:w="4395" w:type="dxa"/>
            <w:shd w:val="clear" w:color="auto" w:fill="auto"/>
            <w:vAlign w:val="center"/>
          </w:tcPr>
          <w:p w14:paraId="041C5AB4" w14:textId="77777777" w:rsidR="005F52AE" w:rsidRDefault="005F52AE">
            <w:pPr>
              <w:spacing w:before="60" w:after="60"/>
              <w:rPr>
                <w:b/>
                <w:sz w:val="24"/>
              </w:rPr>
            </w:pPr>
            <w:r>
              <w:rPr>
                <w:b/>
                <w:sz w:val="24"/>
              </w:rPr>
              <w:t>Ms Liesl Tesch MP</w:t>
            </w:r>
          </w:p>
        </w:tc>
        <w:tc>
          <w:tcPr>
            <w:tcW w:w="3118" w:type="dxa"/>
            <w:shd w:val="clear" w:color="auto" w:fill="auto"/>
            <w:vAlign w:val="center"/>
          </w:tcPr>
          <w:p w14:paraId="4ED05BA5" w14:textId="77777777" w:rsidR="005F52AE" w:rsidRDefault="005F52AE">
            <w:pPr>
              <w:spacing w:before="60" w:after="60"/>
              <w:ind w:left="-108"/>
              <w:rPr>
                <w:sz w:val="24"/>
              </w:rPr>
            </w:pPr>
            <w:r>
              <w:rPr>
                <w:sz w:val="24"/>
              </w:rPr>
              <w:t>Australian Labor Party</w:t>
            </w:r>
          </w:p>
        </w:tc>
        <w:tc>
          <w:tcPr>
            <w:tcW w:w="1559" w:type="dxa"/>
            <w:shd w:val="clear" w:color="auto" w:fill="auto"/>
          </w:tcPr>
          <w:p w14:paraId="2A58A1E2" w14:textId="77777777" w:rsidR="005F52AE" w:rsidRPr="00B15622" w:rsidRDefault="005F52AE">
            <w:pPr>
              <w:spacing w:after="120"/>
              <w:rPr>
                <w:b/>
                <w:bCs/>
                <w:i/>
                <w:sz w:val="24"/>
              </w:rPr>
            </w:pPr>
          </w:p>
        </w:tc>
      </w:tr>
      <w:tr w:rsidR="005F52AE" w:rsidRPr="00B15622" w14:paraId="7FAC6BEB" w14:textId="77777777" w:rsidTr="002A0A23">
        <w:tc>
          <w:tcPr>
            <w:tcW w:w="567" w:type="dxa"/>
            <w:tcBorders>
              <w:top w:val="single" w:sz="4" w:space="0" w:color="auto"/>
              <w:bottom w:val="single" w:sz="4" w:space="0" w:color="auto"/>
            </w:tcBorders>
            <w:shd w:val="clear" w:color="auto" w:fill="auto"/>
          </w:tcPr>
          <w:p w14:paraId="35850D38" w14:textId="77777777" w:rsidR="005F52AE" w:rsidRPr="00B15622" w:rsidRDefault="005F52AE">
            <w:pPr>
              <w:spacing w:after="120"/>
              <w:rPr>
                <w:b/>
                <w:bCs/>
                <w:sz w:val="24"/>
              </w:rPr>
            </w:pPr>
          </w:p>
        </w:tc>
        <w:tc>
          <w:tcPr>
            <w:tcW w:w="4395" w:type="dxa"/>
            <w:shd w:val="clear" w:color="auto" w:fill="auto"/>
            <w:vAlign w:val="center"/>
          </w:tcPr>
          <w:p w14:paraId="4C58E713" w14:textId="77777777" w:rsidR="005F52AE" w:rsidRPr="00B15622" w:rsidRDefault="005F52AE">
            <w:pPr>
              <w:spacing w:before="60" w:after="60"/>
              <w:ind w:left="-108"/>
              <w:rPr>
                <w:b/>
                <w:sz w:val="24"/>
              </w:rPr>
            </w:pPr>
          </w:p>
        </w:tc>
        <w:tc>
          <w:tcPr>
            <w:tcW w:w="3118" w:type="dxa"/>
            <w:shd w:val="clear" w:color="auto" w:fill="auto"/>
            <w:vAlign w:val="center"/>
          </w:tcPr>
          <w:p w14:paraId="09A5938E" w14:textId="77777777" w:rsidR="005F52AE" w:rsidRPr="00B15622" w:rsidRDefault="005F52AE">
            <w:pPr>
              <w:spacing w:before="60" w:after="60"/>
              <w:ind w:left="-108"/>
              <w:rPr>
                <w:sz w:val="24"/>
              </w:rPr>
            </w:pPr>
          </w:p>
        </w:tc>
        <w:tc>
          <w:tcPr>
            <w:tcW w:w="1559" w:type="dxa"/>
            <w:shd w:val="clear" w:color="auto" w:fill="auto"/>
          </w:tcPr>
          <w:p w14:paraId="301A6549" w14:textId="77777777" w:rsidR="005F52AE" w:rsidRPr="00B15622" w:rsidRDefault="005F52AE">
            <w:pPr>
              <w:spacing w:after="120"/>
              <w:rPr>
                <w:b/>
                <w:bCs/>
                <w:i/>
                <w:sz w:val="24"/>
              </w:rPr>
            </w:pPr>
          </w:p>
        </w:tc>
      </w:tr>
      <w:tr w:rsidR="005F52AE" w:rsidRPr="00F95F6F" w14:paraId="044F1EA3" w14:textId="77777777" w:rsidTr="002A0A23">
        <w:tc>
          <w:tcPr>
            <w:tcW w:w="9639" w:type="dxa"/>
            <w:gridSpan w:val="4"/>
            <w:tcBorders>
              <w:top w:val="single" w:sz="4" w:space="0" w:color="auto"/>
              <w:bottom w:val="single" w:sz="4" w:space="0" w:color="auto"/>
            </w:tcBorders>
            <w:shd w:val="clear" w:color="auto" w:fill="auto"/>
          </w:tcPr>
          <w:p w14:paraId="14B524BD" w14:textId="77777777" w:rsidR="005F52AE" w:rsidRPr="00F95F6F" w:rsidRDefault="005F52AE">
            <w:pPr>
              <w:spacing w:before="60" w:after="60"/>
              <w:ind w:left="-108"/>
              <w:rPr>
                <w:b/>
                <w:sz w:val="24"/>
              </w:rPr>
            </w:pPr>
            <w:r w:rsidRPr="00C33032">
              <w:rPr>
                <w:b/>
                <w:sz w:val="28"/>
              </w:rPr>
              <w:t>Contact details</w:t>
            </w:r>
          </w:p>
        </w:tc>
      </w:tr>
      <w:tr w:rsidR="005F52AE" w:rsidRPr="00B15622" w14:paraId="23FF346A" w14:textId="77777777" w:rsidTr="002A0A23">
        <w:tc>
          <w:tcPr>
            <w:tcW w:w="567" w:type="dxa"/>
            <w:tcBorders>
              <w:top w:val="single" w:sz="4" w:space="0" w:color="auto"/>
              <w:bottom w:val="single" w:sz="4" w:space="0" w:color="auto"/>
            </w:tcBorders>
            <w:shd w:val="clear" w:color="auto" w:fill="auto"/>
          </w:tcPr>
          <w:p w14:paraId="6A56FAA0" w14:textId="77777777" w:rsidR="005F52AE" w:rsidRPr="00B15622" w:rsidRDefault="005F52AE">
            <w:pPr>
              <w:spacing w:before="60" w:after="60"/>
              <w:ind w:left="-108"/>
              <w:rPr>
                <w:b/>
                <w:bCs/>
                <w:sz w:val="24"/>
              </w:rPr>
            </w:pPr>
          </w:p>
        </w:tc>
        <w:tc>
          <w:tcPr>
            <w:tcW w:w="4395" w:type="dxa"/>
            <w:shd w:val="clear" w:color="auto" w:fill="auto"/>
            <w:vAlign w:val="center"/>
          </w:tcPr>
          <w:p w14:paraId="25D9BACC" w14:textId="77777777" w:rsidR="005F52AE" w:rsidRDefault="005F52AE">
            <w:pPr>
              <w:spacing w:before="60" w:after="60"/>
            </w:pPr>
            <w:r>
              <w:rPr>
                <w:b/>
                <w:sz w:val="24"/>
              </w:rPr>
              <w:t>Website</w:t>
            </w:r>
            <w:r w:rsidRPr="00F95F6F">
              <w:rPr>
                <w:b/>
                <w:sz w:val="24"/>
              </w:rPr>
              <w:t xml:space="preserve"> </w:t>
            </w:r>
          </w:p>
        </w:tc>
        <w:tc>
          <w:tcPr>
            <w:tcW w:w="4677" w:type="dxa"/>
            <w:gridSpan w:val="2"/>
            <w:shd w:val="clear" w:color="auto" w:fill="auto"/>
            <w:vAlign w:val="center"/>
          </w:tcPr>
          <w:p w14:paraId="2CDFE274" w14:textId="5241C9DF" w:rsidR="005F52AE" w:rsidRPr="00F757E8" w:rsidRDefault="005F52AE">
            <w:pPr>
              <w:spacing w:before="60" w:after="60"/>
              <w:ind w:left="-108"/>
              <w:rPr>
                <w:sz w:val="24"/>
              </w:rPr>
            </w:pPr>
            <w:r w:rsidRPr="000618AE">
              <w:rPr>
                <w:sz w:val="24"/>
              </w:rPr>
              <w:t>https://www.parliament.nsw.gov.au/</w:t>
            </w:r>
          </w:p>
        </w:tc>
      </w:tr>
      <w:tr w:rsidR="005F52AE" w:rsidRPr="00B15622" w14:paraId="6AC8984E" w14:textId="77777777" w:rsidTr="002A0A23">
        <w:tc>
          <w:tcPr>
            <w:tcW w:w="567" w:type="dxa"/>
            <w:tcBorders>
              <w:top w:val="single" w:sz="4" w:space="0" w:color="auto"/>
              <w:bottom w:val="single" w:sz="4" w:space="0" w:color="auto"/>
            </w:tcBorders>
            <w:shd w:val="clear" w:color="auto" w:fill="auto"/>
          </w:tcPr>
          <w:p w14:paraId="108A89CC" w14:textId="77777777" w:rsidR="005F52AE" w:rsidRPr="00F95F6F" w:rsidRDefault="005F52AE">
            <w:pPr>
              <w:spacing w:before="60" w:after="60"/>
              <w:ind w:left="-108"/>
              <w:rPr>
                <w:b/>
                <w:sz w:val="24"/>
              </w:rPr>
            </w:pPr>
          </w:p>
        </w:tc>
        <w:tc>
          <w:tcPr>
            <w:tcW w:w="4395" w:type="dxa"/>
            <w:shd w:val="clear" w:color="auto" w:fill="auto"/>
            <w:vAlign w:val="center"/>
          </w:tcPr>
          <w:p w14:paraId="2DD50EEF" w14:textId="77777777" w:rsidR="005F52AE" w:rsidRPr="00F95F6F" w:rsidRDefault="005F52AE">
            <w:pPr>
              <w:spacing w:before="60" w:after="60"/>
              <w:rPr>
                <w:b/>
                <w:sz w:val="24"/>
              </w:rPr>
            </w:pPr>
            <w:r w:rsidRPr="00F95F6F">
              <w:rPr>
                <w:b/>
                <w:sz w:val="24"/>
              </w:rPr>
              <w:t>Email</w:t>
            </w:r>
          </w:p>
        </w:tc>
        <w:tc>
          <w:tcPr>
            <w:tcW w:w="4677" w:type="dxa"/>
            <w:gridSpan w:val="2"/>
            <w:shd w:val="clear" w:color="auto" w:fill="auto"/>
            <w:vAlign w:val="center"/>
          </w:tcPr>
          <w:p w14:paraId="61AAA6A9" w14:textId="1A26318F" w:rsidR="005F52AE" w:rsidRPr="000B151D" w:rsidRDefault="005F52AE">
            <w:pPr>
              <w:ind w:hanging="114"/>
              <w:rPr>
                <w:rFonts w:ascii="Arial" w:hAnsi="Arial" w:cs="Arial"/>
                <w:color w:val="666666"/>
                <w:sz w:val="19"/>
                <w:szCs w:val="19"/>
                <w:lang w:eastAsia="en-AU"/>
              </w:rPr>
            </w:pPr>
            <w:r w:rsidRPr="000618AE">
              <w:rPr>
                <w:sz w:val="24"/>
              </w:rPr>
              <w:t>netzero@parliament.nsw.gov.au</w:t>
            </w:r>
          </w:p>
        </w:tc>
      </w:tr>
      <w:tr w:rsidR="005F52AE" w:rsidRPr="00B15622" w14:paraId="05694DCA" w14:textId="77777777" w:rsidTr="002A0A23">
        <w:tc>
          <w:tcPr>
            <w:tcW w:w="567" w:type="dxa"/>
            <w:tcBorders>
              <w:top w:val="single" w:sz="4" w:space="0" w:color="auto"/>
              <w:bottom w:val="single" w:sz="8" w:space="0" w:color="auto"/>
            </w:tcBorders>
            <w:shd w:val="clear" w:color="auto" w:fill="auto"/>
          </w:tcPr>
          <w:p w14:paraId="2C87CC4B" w14:textId="77777777" w:rsidR="005F52AE" w:rsidRPr="00F95F6F" w:rsidRDefault="005F52AE">
            <w:pPr>
              <w:spacing w:before="60" w:after="60"/>
              <w:ind w:left="-108"/>
              <w:rPr>
                <w:b/>
                <w:sz w:val="24"/>
              </w:rPr>
            </w:pPr>
          </w:p>
        </w:tc>
        <w:tc>
          <w:tcPr>
            <w:tcW w:w="4395" w:type="dxa"/>
            <w:shd w:val="clear" w:color="auto" w:fill="auto"/>
            <w:vAlign w:val="center"/>
          </w:tcPr>
          <w:p w14:paraId="70B518B5" w14:textId="77777777" w:rsidR="005F52AE" w:rsidRPr="00F95F6F" w:rsidRDefault="005F52AE">
            <w:pPr>
              <w:spacing w:before="60" w:after="60"/>
              <w:rPr>
                <w:b/>
                <w:sz w:val="24"/>
              </w:rPr>
            </w:pPr>
            <w:r w:rsidRPr="00F95F6F">
              <w:rPr>
                <w:b/>
                <w:sz w:val="24"/>
              </w:rPr>
              <w:t>Telephone</w:t>
            </w:r>
          </w:p>
        </w:tc>
        <w:tc>
          <w:tcPr>
            <w:tcW w:w="4677" w:type="dxa"/>
            <w:gridSpan w:val="2"/>
            <w:shd w:val="clear" w:color="auto" w:fill="auto"/>
            <w:vAlign w:val="center"/>
          </w:tcPr>
          <w:p w14:paraId="6E81D22F" w14:textId="77777777" w:rsidR="005F52AE" w:rsidRPr="00F757E8" w:rsidRDefault="005F52AE">
            <w:pPr>
              <w:spacing w:before="60" w:after="60"/>
              <w:ind w:left="-108"/>
              <w:rPr>
                <w:sz w:val="24"/>
              </w:rPr>
            </w:pPr>
            <w:r w:rsidRPr="00F757E8">
              <w:rPr>
                <w:sz w:val="24"/>
              </w:rPr>
              <w:t>(02) 9230 2046</w:t>
            </w:r>
          </w:p>
        </w:tc>
      </w:tr>
    </w:tbl>
    <w:p w14:paraId="33D9E379" w14:textId="77777777" w:rsidR="005F52AE" w:rsidRDefault="005F52AE"/>
    <w:p w14:paraId="48F86F6D" w14:textId="77777777" w:rsidR="005F52AE" w:rsidRDefault="005F52AE"/>
    <w:p w14:paraId="7DD77399" w14:textId="77777777" w:rsidR="005F52AE" w:rsidRDefault="005F52AE"/>
    <w:p w14:paraId="4D7AADF7" w14:textId="77777777" w:rsidR="005F52AE" w:rsidRDefault="005F52AE"/>
    <w:p w14:paraId="7670C075" w14:textId="77777777" w:rsidR="005F52AE" w:rsidRDefault="005F52AE"/>
    <w:p w14:paraId="5E943FA3" w14:textId="77777777" w:rsidR="005F52AE" w:rsidRDefault="005F52AE"/>
    <w:p w14:paraId="785A4939" w14:textId="77777777" w:rsidR="005F52AE" w:rsidRDefault="005F52AE"/>
    <w:p w14:paraId="3AB7F6F5" w14:textId="77777777" w:rsidR="005F52AE" w:rsidRDefault="005F52AE"/>
    <w:p w14:paraId="3E89FA88" w14:textId="77777777" w:rsidR="005F52AE" w:rsidRDefault="005F52AE"/>
    <w:p w14:paraId="4E5D11F7" w14:textId="77777777" w:rsidR="005F52AE" w:rsidRDefault="005F52AE"/>
    <w:p w14:paraId="63871369" w14:textId="77777777" w:rsidR="005F52AE" w:rsidRDefault="005F52AE"/>
    <w:p w14:paraId="50008573" w14:textId="77777777" w:rsidR="005F52AE" w:rsidRDefault="005F52AE"/>
    <w:p w14:paraId="3F0C729B" w14:textId="77777777" w:rsidR="005F52AE" w:rsidRDefault="005F52AE"/>
    <w:p w14:paraId="5B957860" w14:textId="77777777" w:rsidR="005F52AE" w:rsidRDefault="005F52AE"/>
    <w:p w14:paraId="1037F370" w14:textId="77777777" w:rsidR="005F52AE" w:rsidRPr="00BA1C91" w:rsidRDefault="005F52AE">
      <w:pPr>
        <w:rPr>
          <w:b/>
          <w:bCs/>
          <w:sz w:val="28"/>
          <w:szCs w:val="28"/>
        </w:rPr>
      </w:pPr>
      <w:r w:rsidRPr="00BA1C91">
        <w:rPr>
          <w:b/>
          <w:bCs/>
          <w:sz w:val="28"/>
          <w:szCs w:val="28"/>
        </w:rPr>
        <w:t>Secretariat</w:t>
      </w:r>
    </w:p>
    <w:p w14:paraId="4D82CD21" w14:textId="77777777" w:rsidR="005F52AE" w:rsidRDefault="005F52AE">
      <w:pPr>
        <w:spacing w:before="60" w:after="60"/>
        <w:rPr>
          <w:sz w:val="24"/>
          <w:szCs w:val="24"/>
        </w:rPr>
      </w:pPr>
      <w:r>
        <w:rPr>
          <w:sz w:val="24"/>
          <w:szCs w:val="24"/>
        </w:rPr>
        <w:t>Stephen Fujiwara, Principal Council Officer</w:t>
      </w:r>
    </w:p>
    <w:p w14:paraId="2E0442BB" w14:textId="77777777" w:rsidR="005F52AE" w:rsidRDefault="005F52AE">
      <w:pPr>
        <w:spacing w:before="60" w:after="60"/>
        <w:rPr>
          <w:sz w:val="24"/>
          <w:szCs w:val="24"/>
        </w:rPr>
      </w:pPr>
      <w:r>
        <w:rPr>
          <w:sz w:val="24"/>
          <w:szCs w:val="24"/>
        </w:rPr>
        <w:t>Samantha Jeffery, Administration Officer</w:t>
      </w:r>
    </w:p>
    <w:p w14:paraId="7480CE4E" w14:textId="77777777" w:rsidR="005F52AE" w:rsidRDefault="005F52AE">
      <w:pPr>
        <w:spacing w:before="60" w:after="60"/>
        <w:rPr>
          <w:sz w:val="24"/>
          <w:szCs w:val="24"/>
        </w:rPr>
      </w:pPr>
      <w:r>
        <w:rPr>
          <w:sz w:val="24"/>
          <w:szCs w:val="24"/>
        </w:rPr>
        <w:t>Kate Mihaljek, Director</w:t>
      </w:r>
    </w:p>
    <w:p w14:paraId="0C778664" w14:textId="77777777" w:rsidR="005F52AE" w:rsidRDefault="005F52AE">
      <w:pPr>
        <w:spacing w:before="60" w:after="60"/>
        <w:rPr>
          <w:sz w:val="24"/>
          <w:szCs w:val="24"/>
        </w:rPr>
      </w:pPr>
      <w:r>
        <w:rPr>
          <w:sz w:val="24"/>
          <w:szCs w:val="24"/>
        </w:rPr>
        <w:t xml:space="preserve">Arizona Hart, A/Director </w:t>
      </w:r>
    </w:p>
    <w:p w14:paraId="606B6E23" w14:textId="77777777" w:rsidR="005F52AE" w:rsidRPr="005F304E" w:rsidRDefault="005F52AE">
      <w:pPr>
        <w:spacing w:before="120" w:after="120"/>
        <w:rPr>
          <w:b/>
          <w:bCs/>
          <w:sz w:val="24"/>
          <w:szCs w:val="24"/>
        </w:rPr>
      </w:pPr>
      <w:r>
        <w:rPr>
          <w:sz w:val="24"/>
          <w:szCs w:val="24"/>
        </w:rPr>
        <w:t xml:space="preserve"> </w:t>
      </w:r>
      <w:r>
        <w:br w:type="page"/>
      </w:r>
    </w:p>
    <w:p w14:paraId="146D1D51" w14:textId="77777777" w:rsidR="005F52AE" w:rsidRDefault="005F52AE">
      <w:pPr>
        <w:pStyle w:val="InitialTitle"/>
      </w:pPr>
      <w:bookmarkStart w:id="19" w:name="_Toc455661393"/>
      <w:bookmarkStart w:id="20" w:name="_Toc194052233"/>
      <w:r>
        <w:lastRenderedPageBreak/>
        <w:t>Chair’s foreword</w:t>
      </w:r>
      <w:bookmarkEnd w:id="19"/>
      <w:bookmarkEnd w:id="20"/>
    </w:p>
    <w:p w14:paraId="45ABDBB7" w14:textId="3F25C292" w:rsidR="00FC5C36" w:rsidRPr="00FC5C36" w:rsidRDefault="00FC5C36" w:rsidP="00FC5C36">
      <w:pPr>
        <w:jc w:val="both"/>
        <w:rPr>
          <w:sz w:val="24"/>
        </w:rPr>
      </w:pPr>
      <w:r w:rsidRPr="00FC5C36">
        <w:rPr>
          <w:sz w:val="24"/>
        </w:rPr>
        <w:t xml:space="preserve">This inquiry into the 2024 annual report of the Net Zero Commission is significant for several reasons: the 2024 report is the first annual report delivered by the </w:t>
      </w:r>
      <w:r w:rsidR="007235AE">
        <w:rPr>
          <w:sz w:val="24"/>
        </w:rPr>
        <w:t>c</w:t>
      </w:r>
      <w:r w:rsidRPr="00FC5C36">
        <w:rPr>
          <w:sz w:val="24"/>
        </w:rPr>
        <w:t>ommission since its establishment, and it is the first inquiry conducted by the Joint Standing Committee on Net Zero Future since being established in June 2024.</w:t>
      </w:r>
    </w:p>
    <w:p w14:paraId="0135C369" w14:textId="77777777" w:rsidR="00FC5C36" w:rsidRPr="00FC5C36" w:rsidRDefault="00FC5C36" w:rsidP="00FC5C36">
      <w:pPr>
        <w:jc w:val="both"/>
        <w:rPr>
          <w:sz w:val="24"/>
        </w:rPr>
      </w:pPr>
    </w:p>
    <w:p w14:paraId="6D18D504" w14:textId="32A89DFD" w:rsidR="00FC5C36" w:rsidRPr="00FC5C36" w:rsidRDefault="00FC5C36" w:rsidP="00FC5C36">
      <w:pPr>
        <w:jc w:val="both"/>
        <w:rPr>
          <w:sz w:val="24"/>
        </w:rPr>
      </w:pPr>
      <w:r w:rsidRPr="00FC5C36">
        <w:rPr>
          <w:sz w:val="24"/>
        </w:rPr>
        <w:t xml:space="preserve">Over the course of the inquiry, it was clear that the Net Zero Commission has the support of the community. Stakeholders noted the observations of the </w:t>
      </w:r>
      <w:r w:rsidR="007235AE">
        <w:rPr>
          <w:sz w:val="24"/>
        </w:rPr>
        <w:t>c</w:t>
      </w:r>
      <w:r w:rsidRPr="00FC5C36">
        <w:rPr>
          <w:sz w:val="24"/>
        </w:rPr>
        <w:t xml:space="preserve">ommission on the state's progress towards net </w:t>
      </w:r>
      <w:proofErr w:type="gramStart"/>
      <w:r w:rsidRPr="00FC5C36">
        <w:rPr>
          <w:sz w:val="24"/>
        </w:rPr>
        <w:t>zero, and</w:t>
      </w:r>
      <w:proofErr w:type="gramEnd"/>
      <w:r w:rsidRPr="00FC5C36">
        <w:rPr>
          <w:sz w:val="24"/>
        </w:rPr>
        <w:t xml:space="preserve"> expressed concern about the sectors which are not tracking towards the targets. Stakeholders provided a wide range of ideas, recommendations and solutions to help New South Wales meet the net zero targets.</w:t>
      </w:r>
    </w:p>
    <w:p w14:paraId="4DA758DE" w14:textId="77777777" w:rsidR="00FC5C36" w:rsidRPr="00FC5C36" w:rsidRDefault="00FC5C36" w:rsidP="00FC5C36">
      <w:pPr>
        <w:jc w:val="both"/>
        <w:rPr>
          <w:sz w:val="24"/>
        </w:rPr>
      </w:pPr>
    </w:p>
    <w:p w14:paraId="6CB0FCFA" w14:textId="77777777" w:rsidR="00FC5C36" w:rsidRPr="00FC5C36" w:rsidRDefault="00FC5C36" w:rsidP="00FC5C36">
      <w:pPr>
        <w:jc w:val="both"/>
        <w:rPr>
          <w:sz w:val="24"/>
        </w:rPr>
      </w:pPr>
      <w:r w:rsidRPr="00FC5C36">
        <w:rPr>
          <w:sz w:val="24"/>
        </w:rPr>
        <w:t xml:space="preserve">The committee wishes to thank the various stakeholders who participated in the inquiry and assisted the committee in its consideration of the 2024 annual report. The evidence provided was highly valuable and brought broad perspectives for the committee to consider.  </w:t>
      </w:r>
    </w:p>
    <w:p w14:paraId="7E89BA5E" w14:textId="77777777" w:rsidR="00FC5C36" w:rsidRPr="00FC5C36" w:rsidRDefault="00FC5C36" w:rsidP="00FC5C36">
      <w:pPr>
        <w:jc w:val="both"/>
        <w:rPr>
          <w:sz w:val="24"/>
        </w:rPr>
      </w:pPr>
    </w:p>
    <w:p w14:paraId="5CE5ECD8" w14:textId="77777777" w:rsidR="00FC5C36" w:rsidRPr="00FC5C36" w:rsidRDefault="00FC5C36" w:rsidP="00FC5C36">
      <w:pPr>
        <w:jc w:val="both"/>
        <w:rPr>
          <w:sz w:val="24"/>
        </w:rPr>
      </w:pPr>
      <w:r w:rsidRPr="00FC5C36">
        <w:rPr>
          <w:sz w:val="24"/>
        </w:rPr>
        <w:t>I would also like to thank my fellow committee members for their thoughtful input into the inquiry.</w:t>
      </w:r>
    </w:p>
    <w:p w14:paraId="7BBBF534" w14:textId="77777777" w:rsidR="00FC5C36" w:rsidRPr="00FC5C36" w:rsidRDefault="00FC5C36" w:rsidP="00FC5C36">
      <w:pPr>
        <w:jc w:val="both"/>
        <w:rPr>
          <w:sz w:val="24"/>
        </w:rPr>
      </w:pPr>
      <w:r w:rsidRPr="00FC5C36">
        <w:rPr>
          <w:sz w:val="24"/>
        </w:rPr>
        <w:t>I am pleased to provide this report, including its recommendations arising from the inquiry to consider, and I look forward to working with the Net Zero Commission in future years to assist the state in reaching our emissions reduction goals.</w:t>
      </w:r>
    </w:p>
    <w:p w14:paraId="79248525" w14:textId="77777777" w:rsidR="007F549D" w:rsidRDefault="007F549D" w:rsidP="00FC5C36">
      <w:pPr>
        <w:jc w:val="both"/>
        <w:rPr>
          <w:sz w:val="24"/>
        </w:rPr>
      </w:pPr>
    </w:p>
    <w:p w14:paraId="7F9E007B" w14:textId="4C596962" w:rsidR="007F549D" w:rsidRDefault="007F549D" w:rsidP="00FC5C36">
      <w:pPr>
        <w:jc w:val="both"/>
        <w:rPr>
          <w:sz w:val="24"/>
        </w:rPr>
      </w:pPr>
      <w:r>
        <w:rPr>
          <w:sz w:val="24"/>
        </w:rPr>
        <w:t>Hon Jeremy Buckingham MLC</w:t>
      </w:r>
    </w:p>
    <w:p w14:paraId="540DC62B" w14:textId="0D4960A0" w:rsidR="007F549D" w:rsidRPr="007F549D" w:rsidRDefault="007F549D" w:rsidP="00FC5C36">
      <w:pPr>
        <w:jc w:val="both"/>
        <w:rPr>
          <w:b/>
          <w:bCs/>
          <w:sz w:val="24"/>
        </w:rPr>
      </w:pPr>
      <w:r>
        <w:rPr>
          <w:b/>
          <w:bCs/>
          <w:sz w:val="24"/>
        </w:rPr>
        <w:t>Committee Chair</w:t>
      </w:r>
    </w:p>
    <w:p w14:paraId="40DEFD65" w14:textId="77777777" w:rsidR="00FC5C36" w:rsidRPr="00FC5C36" w:rsidRDefault="00FC5C36" w:rsidP="00FC5C36">
      <w:pPr>
        <w:pStyle w:val="BodyCopy"/>
        <w:jc w:val="both"/>
      </w:pPr>
    </w:p>
    <w:p w14:paraId="20712C52" w14:textId="77777777" w:rsidR="005F52AE" w:rsidRDefault="005F52AE">
      <w:pPr>
        <w:pStyle w:val="InitialTitle"/>
      </w:pPr>
      <w:r>
        <w:br w:type="page"/>
      </w:r>
      <w:bookmarkStart w:id="21" w:name="TOCHeading"/>
      <w:bookmarkStart w:id="22" w:name="AllTOC"/>
      <w:bookmarkEnd w:id="14"/>
      <w:bookmarkEnd w:id="21"/>
      <w:r>
        <w:lastRenderedPageBreak/>
        <w:t xml:space="preserve"> </w:t>
      </w:r>
      <w:bookmarkStart w:id="23" w:name="ChairsForeWord"/>
      <w:bookmarkStart w:id="24" w:name="_Toc455661395"/>
      <w:bookmarkStart w:id="25" w:name="_Toc194052234"/>
      <w:bookmarkStart w:id="26" w:name="AllChair"/>
      <w:bookmarkEnd w:id="22"/>
      <w:bookmarkEnd w:id="23"/>
      <w:r>
        <w:t>Findings</w:t>
      </w:r>
      <w:bookmarkEnd w:id="24"/>
      <w:bookmarkEnd w:id="25"/>
    </w:p>
    <w:p w14:paraId="7CF66AA8" w14:textId="730CFD6D" w:rsidR="00405814" w:rsidRDefault="005F52AE">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405814">
        <w:rPr>
          <w:noProof/>
        </w:rPr>
        <w:t>Finding 1</w:t>
      </w:r>
      <w:r w:rsidR="00405814">
        <w:rPr>
          <w:noProof/>
        </w:rPr>
        <w:tab/>
      </w:r>
      <w:r w:rsidR="00405814">
        <w:rPr>
          <w:noProof/>
        </w:rPr>
        <w:fldChar w:fldCharType="begin"/>
      </w:r>
      <w:r w:rsidR="00405814">
        <w:rPr>
          <w:noProof/>
        </w:rPr>
        <w:instrText xml:space="preserve"> PAGEREF _Toc193726488 \h </w:instrText>
      </w:r>
      <w:r w:rsidR="00405814">
        <w:rPr>
          <w:noProof/>
        </w:rPr>
      </w:r>
      <w:r w:rsidR="00405814">
        <w:rPr>
          <w:noProof/>
        </w:rPr>
        <w:fldChar w:fldCharType="separate"/>
      </w:r>
      <w:r w:rsidR="00A358FD">
        <w:rPr>
          <w:noProof/>
        </w:rPr>
        <w:t>26</w:t>
      </w:r>
      <w:r w:rsidR="00405814">
        <w:rPr>
          <w:noProof/>
        </w:rPr>
        <w:fldChar w:fldCharType="end"/>
      </w:r>
    </w:p>
    <w:p w14:paraId="14669E01" w14:textId="77777777" w:rsidR="00405814" w:rsidRDefault="0040581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2024 annual report of the Net Zero Commission was produced in a short time frame while the commission was being established, which limited the amount of stakeholder engagement that could be undertaken, but the commission plans to conduct improved stakeholder engagement for future reports.</w:t>
      </w:r>
    </w:p>
    <w:p w14:paraId="3FC8404A" w14:textId="7AACFB69"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_Toc193726490 \h </w:instrText>
      </w:r>
      <w:r>
        <w:rPr>
          <w:noProof/>
        </w:rPr>
      </w:r>
      <w:r>
        <w:rPr>
          <w:noProof/>
        </w:rPr>
        <w:fldChar w:fldCharType="separate"/>
      </w:r>
      <w:r w:rsidR="00A358FD">
        <w:rPr>
          <w:noProof/>
        </w:rPr>
        <w:t>26</w:t>
      </w:r>
      <w:r>
        <w:rPr>
          <w:noProof/>
        </w:rPr>
        <w:fldChar w:fldCharType="end"/>
      </w:r>
    </w:p>
    <w:p w14:paraId="00572C01" w14:textId="77777777" w:rsidR="00405814" w:rsidRDefault="0040581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2024 annual report of the Net Zero Commission was broadly supported by stakeholders, who look forward to engaging with the commission on future reports.</w:t>
      </w:r>
    </w:p>
    <w:p w14:paraId="303EE02D" w14:textId="04DA63C6"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_Toc193726496 \h </w:instrText>
      </w:r>
      <w:r>
        <w:rPr>
          <w:noProof/>
        </w:rPr>
      </w:r>
      <w:r>
        <w:rPr>
          <w:noProof/>
        </w:rPr>
        <w:fldChar w:fldCharType="separate"/>
      </w:r>
      <w:r w:rsidR="00A358FD">
        <w:rPr>
          <w:noProof/>
        </w:rPr>
        <w:t>27</w:t>
      </w:r>
      <w:r>
        <w:rPr>
          <w:noProof/>
        </w:rPr>
        <w:fldChar w:fldCharType="end"/>
      </w:r>
    </w:p>
    <w:p w14:paraId="772AF782" w14:textId="77777777" w:rsidR="00405814" w:rsidRDefault="00405814">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This committee finds that there is considerable uncertainty regarding whether emissions targets can be achieved - particularly the 2030 and 2035 interim targets - given what the Net Zero Commission describes as a ‘sizeable pipeline’ of new coal expansions currently being assessed by the NSW Department of Planning, Housing and Infrastructure.</w:t>
      </w:r>
    </w:p>
    <w:p w14:paraId="02722562" w14:textId="3E2CF1D5" w:rsidR="005F52AE" w:rsidRDefault="005F52AE" w:rsidP="005F52AE">
      <w:pPr>
        <w:pStyle w:val="TOC4"/>
      </w:pPr>
      <w:r>
        <w:fldChar w:fldCharType="end"/>
      </w:r>
    </w:p>
    <w:p w14:paraId="3FBEBA1B" w14:textId="77777777" w:rsidR="00405814" w:rsidRDefault="005F52AE" w:rsidP="005F52AE">
      <w:pPr>
        <w:pStyle w:val="InitialTitle"/>
        <w:rPr>
          <w:noProof/>
        </w:rPr>
      </w:pPr>
      <w:bookmarkStart w:id="27" w:name="ExecutiveSummary"/>
      <w:bookmarkStart w:id="28" w:name="AllExecSummary"/>
      <w:bookmarkEnd w:id="26"/>
      <w:bookmarkEnd w:id="27"/>
      <w:r>
        <w:br w:type="page"/>
      </w:r>
      <w:bookmarkStart w:id="29" w:name="SofR"/>
      <w:bookmarkStart w:id="30" w:name="_Toc42310724"/>
      <w:bookmarkStart w:id="31" w:name="_Toc262575711"/>
      <w:bookmarkStart w:id="32" w:name="_Toc262575819"/>
      <w:bookmarkStart w:id="33" w:name="_Toc194052235"/>
      <w:bookmarkStart w:id="34" w:name="AllSofR"/>
      <w:bookmarkEnd w:id="28"/>
      <w:bookmarkEnd w:id="29"/>
      <w:r>
        <w:lastRenderedPageBreak/>
        <w:t>Recommendations</w:t>
      </w:r>
      <w:bookmarkEnd w:id="30"/>
      <w:bookmarkEnd w:id="31"/>
      <w:bookmarkEnd w:id="32"/>
      <w:bookmarkEnd w:id="33"/>
      <w:r>
        <w:fldChar w:fldCharType="begin"/>
      </w:r>
      <w:r>
        <w:instrText xml:space="preserve"> TOC \t "RecommendationBullet,6,RecommendationBody,5,RecommendationTitle,4" \n 5-6</w:instrText>
      </w:r>
      <w:r>
        <w:fldChar w:fldCharType="separate"/>
      </w:r>
    </w:p>
    <w:p w14:paraId="5C08F455" w14:textId="21E6A51C"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w:t>
      </w:r>
      <w:r>
        <w:rPr>
          <w:noProof/>
        </w:rPr>
        <w:tab/>
      </w:r>
      <w:r>
        <w:rPr>
          <w:noProof/>
        </w:rPr>
        <w:fldChar w:fldCharType="begin"/>
      </w:r>
      <w:r>
        <w:rPr>
          <w:noProof/>
        </w:rPr>
        <w:instrText xml:space="preserve"> PAGEREF _Toc193726508 \h </w:instrText>
      </w:r>
      <w:r>
        <w:rPr>
          <w:noProof/>
        </w:rPr>
      </w:r>
      <w:r>
        <w:rPr>
          <w:noProof/>
        </w:rPr>
        <w:fldChar w:fldCharType="separate"/>
      </w:r>
      <w:r w:rsidR="00A358FD">
        <w:rPr>
          <w:noProof/>
        </w:rPr>
        <w:t>27</w:t>
      </w:r>
      <w:r>
        <w:rPr>
          <w:noProof/>
        </w:rPr>
        <w:fldChar w:fldCharType="end"/>
      </w:r>
    </w:p>
    <w:p w14:paraId="5E9255C4" w14:textId="77777777" w:rsidR="00405814" w:rsidRDefault="00405814">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government:</w:t>
      </w:r>
    </w:p>
    <w:p w14:paraId="2EF127D5" w14:textId="77777777" w:rsidR="00405814" w:rsidRDefault="00405814">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00692F">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ensures the commission is well resourced and supported by other departments and agencies in order to deliver its legislated objectives for the state of New South Wales, and</w:t>
      </w:r>
    </w:p>
    <w:p w14:paraId="7491D1DE" w14:textId="77777777" w:rsidR="00405814" w:rsidRDefault="00405814">
      <w:pPr>
        <w:pStyle w:val="TOC6"/>
        <w:tabs>
          <w:tab w:val="left" w:pos="1701"/>
          <w:tab w:val="right" w:leader="dot" w:pos="9628"/>
        </w:tabs>
        <w:rPr>
          <w:rFonts w:asciiTheme="minorHAnsi" w:eastAsiaTheme="minorEastAsia" w:hAnsiTheme="minorHAnsi" w:cstheme="minorBidi"/>
          <w:noProof/>
          <w:kern w:val="2"/>
          <w:sz w:val="22"/>
          <w:szCs w:val="22"/>
          <w:lang w:eastAsia="en-AU"/>
          <w14:ligatures w14:val="standardContextual"/>
        </w:rPr>
      </w:pPr>
      <w:r w:rsidRPr="0000692F">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responds with careful consideration to the observations and advice of the commission.</w:t>
      </w:r>
    </w:p>
    <w:p w14:paraId="0722AA73" w14:textId="77D85A4E"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_Toc193726514 \h </w:instrText>
      </w:r>
      <w:r>
        <w:rPr>
          <w:noProof/>
        </w:rPr>
      </w:r>
      <w:r>
        <w:rPr>
          <w:noProof/>
        </w:rPr>
        <w:fldChar w:fldCharType="separate"/>
      </w:r>
      <w:r w:rsidR="00A358FD">
        <w:rPr>
          <w:noProof/>
        </w:rPr>
        <w:t>27</w:t>
      </w:r>
      <w:r>
        <w:rPr>
          <w:noProof/>
        </w:rPr>
        <w:fldChar w:fldCharType="end"/>
      </w:r>
    </w:p>
    <w:p w14:paraId="57F1A5DD" w14:textId="3875866C" w:rsidR="00405814" w:rsidRDefault="00405814">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government supports the commission to use their legislated functions to provide a further report on the resources sector, including methane abatement technology and fugitive emissions, as a matter of urgency</w:t>
      </w:r>
      <w:r w:rsidR="00CF1047">
        <w:rPr>
          <w:noProof/>
        </w:rPr>
        <w:t>.</w:t>
      </w:r>
    </w:p>
    <w:p w14:paraId="6C74EFF1" w14:textId="132320FE"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_Toc193726516 \h </w:instrText>
      </w:r>
      <w:r>
        <w:rPr>
          <w:noProof/>
        </w:rPr>
      </w:r>
      <w:r>
        <w:rPr>
          <w:noProof/>
        </w:rPr>
        <w:fldChar w:fldCharType="separate"/>
      </w:r>
      <w:r w:rsidR="00A358FD">
        <w:rPr>
          <w:noProof/>
        </w:rPr>
        <w:t>27</w:t>
      </w:r>
      <w:r>
        <w:rPr>
          <w:noProof/>
        </w:rPr>
        <w:fldChar w:fldCharType="end"/>
      </w:r>
    </w:p>
    <w:p w14:paraId="5D25D687" w14:textId="77777777" w:rsidR="00405814" w:rsidRDefault="00405814">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government consider implementing regulatory changes to encourage the earlier adoption of low emissions technologies.</w:t>
      </w:r>
    </w:p>
    <w:p w14:paraId="0FA3DB21" w14:textId="5DD70ADB" w:rsidR="00405814" w:rsidRDefault="00405814">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_Toc193726518 \h </w:instrText>
      </w:r>
      <w:r>
        <w:rPr>
          <w:noProof/>
        </w:rPr>
      </w:r>
      <w:r>
        <w:rPr>
          <w:noProof/>
        </w:rPr>
        <w:fldChar w:fldCharType="separate"/>
      </w:r>
      <w:r w:rsidR="00A358FD">
        <w:rPr>
          <w:noProof/>
        </w:rPr>
        <w:t>28</w:t>
      </w:r>
      <w:r>
        <w:rPr>
          <w:noProof/>
        </w:rPr>
        <w:fldChar w:fldCharType="end"/>
      </w:r>
    </w:p>
    <w:p w14:paraId="1C1A2B8D" w14:textId="77777777" w:rsidR="00405814" w:rsidRDefault="00405814">
      <w:pPr>
        <w:pStyle w:val="TOC5"/>
        <w:tabs>
          <w:tab w:val="right" w:leader="dot" w:pos="9628"/>
        </w:tabs>
        <w:rPr>
          <w:rFonts w:asciiTheme="minorHAnsi" w:eastAsiaTheme="minorEastAsia" w:hAnsiTheme="minorHAnsi" w:cstheme="minorBidi"/>
          <w:noProof/>
          <w:kern w:val="2"/>
          <w:sz w:val="22"/>
          <w:szCs w:val="22"/>
          <w:lang w:eastAsia="en-AU"/>
          <w14:ligatures w14:val="standardContextual"/>
        </w:rPr>
      </w:pPr>
      <w:r>
        <w:rPr>
          <w:noProof/>
        </w:rPr>
        <w:t>That the government implement changes as discussed at 2.53 in regards to energy ratings for existing homes that could be disclosed at point of sale or lease to provide buyers or renters information on energy efficiency before making the decision to buy or lease the property.</w:t>
      </w:r>
    </w:p>
    <w:p w14:paraId="03234415" w14:textId="77777777" w:rsidR="005F52AE" w:rsidRDefault="005F52AE">
      <w:pPr>
        <w:pStyle w:val="BodyCopy"/>
      </w:pPr>
      <w:r>
        <w:fldChar w:fldCharType="end"/>
      </w:r>
    </w:p>
    <w:p w14:paraId="7AF78D54" w14:textId="77777777" w:rsidR="005F52AE" w:rsidRDefault="005F52AE">
      <w:pPr>
        <w:pStyle w:val="InitialTitle"/>
      </w:pPr>
      <w:r>
        <w:br w:type="page"/>
      </w:r>
      <w:bookmarkStart w:id="35" w:name="Glossary"/>
      <w:bookmarkStart w:id="36" w:name="AllGlossary"/>
      <w:bookmarkEnd w:id="34"/>
      <w:bookmarkEnd w:id="35"/>
    </w:p>
    <w:p w14:paraId="05F5C479" w14:textId="77777777" w:rsidR="005F52AE" w:rsidRDefault="005F52AE">
      <w:pPr>
        <w:pStyle w:val="InitialTitle"/>
        <w:rPr>
          <w:sz w:val="24"/>
        </w:rPr>
      </w:pPr>
      <w:bookmarkStart w:id="37" w:name="_Toc455661397"/>
      <w:bookmarkStart w:id="38" w:name="_Toc194052236"/>
      <w:bookmarkEnd w:id="36"/>
      <w:r>
        <w:lastRenderedPageBreak/>
        <w:t>Conduct of inquiry</w:t>
      </w:r>
      <w:bookmarkEnd w:id="37"/>
      <w:bookmarkEnd w:id="38"/>
    </w:p>
    <w:p w14:paraId="407EF80D" w14:textId="77777777" w:rsidR="005F52AE" w:rsidRPr="006713F7" w:rsidRDefault="005F52AE" w:rsidP="00D05550">
      <w:pPr>
        <w:pStyle w:val="BodyCopy"/>
        <w:spacing w:after="0"/>
        <w:jc w:val="both"/>
        <w:rPr>
          <w:color w:val="000000" w:themeColor="text1"/>
        </w:rPr>
      </w:pPr>
      <w:r w:rsidRPr="006713F7">
        <w:rPr>
          <w:color w:val="000000" w:themeColor="text1"/>
        </w:rPr>
        <w:t>The terms of reference for the inquiry were</w:t>
      </w:r>
      <w:r>
        <w:rPr>
          <w:color w:val="000000" w:themeColor="text1"/>
        </w:rPr>
        <w:t xml:space="preserve"> self-</w:t>
      </w:r>
      <w:r w:rsidRPr="006713F7">
        <w:rPr>
          <w:color w:val="000000" w:themeColor="text1"/>
        </w:rPr>
        <w:t xml:space="preserve">referred </w:t>
      </w:r>
      <w:r>
        <w:rPr>
          <w:color w:val="000000" w:themeColor="text1"/>
        </w:rPr>
        <w:t>by</w:t>
      </w:r>
      <w:r w:rsidRPr="006713F7">
        <w:rPr>
          <w:color w:val="000000" w:themeColor="text1"/>
        </w:rPr>
        <w:t xml:space="preserve"> the committee on </w:t>
      </w:r>
      <w:r>
        <w:rPr>
          <w:color w:val="000000" w:themeColor="text1"/>
        </w:rPr>
        <w:t>13 December 2024</w:t>
      </w:r>
      <w:r w:rsidRPr="006713F7">
        <w:rPr>
          <w:color w:val="000000" w:themeColor="text1"/>
        </w:rPr>
        <w:t>.</w:t>
      </w:r>
    </w:p>
    <w:p w14:paraId="61FED6FF" w14:textId="77777777" w:rsidR="005F52AE" w:rsidRDefault="005F52AE" w:rsidP="00D05550">
      <w:pPr>
        <w:pStyle w:val="BodyCopy"/>
        <w:spacing w:after="0"/>
        <w:jc w:val="both"/>
        <w:rPr>
          <w:color w:val="000000" w:themeColor="text1"/>
        </w:rPr>
      </w:pPr>
    </w:p>
    <w:p w14:paraId="088AF165" w14:textId="77777777" w:rsidR="005F52AE" w:rsidRPr="006713F7" w:rsidRDefault="005F52AE" w:rsidP="00D05550">
      <w:pPr>
        <w:pStyle w:val="BodyCopy"/>
        <w:spacing w:after="0"/>
        <w:jc w:val="both"/>
        <w:rPr>
          <w:color w:val="000000" w:themeColor="text1"/>
        </w:rPr>
      </w:pPr>
      <w:r w:rsidRPr="006713F7">
        <w:rPr>
          <w:color w:val="000000" w:themeColor="text1"/>
        </w:rPr>
        <w:t xml:space="preserve">The committee received </w:t>
      </w:r>
      <w:r>
        <w:rPr>
          <w:color w:val="000000" w:themeColor="text1"/>
        </w:rPr>
        <w:t>88</w:t>
      </w:r>
      <w:r w:rsidRPr="006713F7">
        <w:rPr>
          <w:color w:val="000000" w:themeColor="text1"/>
        </w:rPr>
        <w:t xml:space="preserve"> submissions</w:t>
      </w:r>
      <w:r>
        <w:rPr>
          <w:color w:val="000000" w:themeColor="text1"/>
        </w:rPr>
        <w:t>, three</w:t>
      </w:r>
      <w:r w:rsidRPr="006713F7">
        <w:rPr>
          <w:color w:val="000000" w:themeColor="text1"/>
        </w:rPr>
        <w:t xml:space="preserve"> supplementary submissions</w:t>
      </w:r>
      <w:r>
        <w:rPr>
          <w:color w:val="000000" w:themeColor="text1"/>
        </w:rPr>
        <w:t xml:space="preserve">, </w:t>
      </w:r>
      <w:r w:rsidRPr="00C44C5C">
        <w:rPr>
          <w:color w:val="000000" w:themeColor="text1"/>
        </w:rPr>
        <w:t>and 15 pro forma submissions.</w:t>
      </w:r>
      <w:r>
        <w:rPr>
          <w:color w:val="000000" w:themeColor="text1"/>
        </w:rPr>
        <w:t xml:space="preserve"> </w:t>
      </w:r>
    </w:p>
    <w:p w14:paraId="555B73BA" w14:textId="77777777" w:rsidR="005F52AE" w:rsidRDefault="005F52AE" w:rsidP="00D05550">
      <w:pPr>
        <w:pStyle w:val="BodyCopy"/>
        <w:spacing w:after="0"/>
        <w:jc w:val="both"/>
        <w:rPr>
          <w:color w:val="000000" w:themeColor="text1"/>
        </w:rPr>
      </w:pPr>
    </w:p>
    <w:p w14:paraId="30737DB7" w14:textId="77777777" w:rsidR="005F52AE" w:rsidRPr="006713F7" w:rsidRDefault="005F52AE" w:rsidP="00D05550">
      <w:pPr>
        <w:pStyle w:val="BodyCopy"/>
        <w:spacing w:after="0"/>
        <w:jc w:val="both"/>
        <w:rPr>
          <w:color w:val="000000" w:themeColor="text1"/>
        </w:rPr>
      </w:pPr>
      <w:r w:rsidRPr="006713F7">
        <w:rPr>
          <w:color w:val="000000" w:themeColor="text1"/>
        </w:rPr>
        <w:t xml:space="preserve">The committee held </w:t>
      </w:r>
      <w:r>
        <w:rPr>
          <w:color w:val="000000" w:themeColor="text1"/>
        </w:rPr>
        <w:t>one</w:t>
      </w:r>
      <w:r w:rsidRPr="006713F7">
        <w:rPr>
          <w:color w:val="000000" w:themeColor="text1"/>
        </w:rPr>
        <w:t xml:space="preserve"> public hearing at Parliament House in Sydney. </w:t>
      </w:r>
    </w:p>
    <w:p w14:paraId="59AA9279" w14:textId="77777777" w:rsidR="005F52AE" w:rsidRDefault="005F52AE" w:rsidP="00D05550">
      <w:pPr>
        <w:pStyle w:val="BodyCopy"/>
        <w:spacing w:after="0"/>
        <w:jc w:val="both"/>
        <w:rPr>
          <w:color w:val="000000" w:themeColor="text1"/>
        </w:rPr>
      </w:pPr>
    </w:p>
    <w:p w14:paraId="7FC2003F" w14:textId="77777777" w:rsidR="005F52AE" w:rsidRDefault="005F52AE" w:rsidP="00D05550">
      <w:pPr>
        <w:pStyle w:val="BodyCopy"/>
        <w:spacing w:after="0"/>
        <w:jc w:val="both"/>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40E4A57C" w14:textId="01A1E34B" w:rsidR="005F52AE" w:rsidRPr="00972020" w:rsidRDefault="005F52AE" w:rsidP="00972020">
      <w:pPr>
        <w:rPr>
          <w:color w:val="000000" w:themeColor="text1"/>
          <w:sz w:val="24"/>
        </w:rPr>
      </w:pPr>
      <w:r>
        <w:rPr>
          <w:color w:val="000000" w:themeColor="text1"/>
        </w:rPr>
        <w:br w:type="page"/>
      </w:r>
    </w:p>
    <w:p w14:paraId="5311DCF0" w14:textId="77777777" w:rsidR="00611732" w:rsidRDefault="00611732" w:rsidP="002A4E93">
      <w:pPr>
        <w:pStyle w:val="BodyCopy"/>
        <w:sectPr w:rsidR="00611732"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6F55CBC9" w14:textId="7474CA69" w:rsidR="005F52AE" w:rsidRPr="00BB29CD" w:rsidRDefault="00C254A5" w:rsidP="00BB29CD">
      <w:pPr>
        <w:pStyle w:val="ChapterTitle"/>
      </w:pPr>
      <w:bookmarkStart w:id="47" w:name="_Toc194052237"/>
      <w:r w:rsidRPr="00BB29CD">
        <w:lastRenderedPageBreak/>
        <w:t>Chapter 1</w:t>
      </w:r>
      <w:r w:rsidRPr="00BB29CD">
        <w:tab/>
      </w:r>
      <w:r w:rsidR="005F52AE" w:rsidRPr="00BB29CD">
        <w:t>Background</w:t>
      </w:r>
      <w:bookmarkEnd w:id="47"/>
    </w:p>
    <w:p w14:paraId="4977CDBD" w14:textId="77777777" w:rsidR="005F52AE" w:rsidRPr="00E865C0" w:rsidRDefault="005F52AE" w:rsidP="005F52AE">
      <w:pPr>
        <w:pStyle w:val="ChapterIntro"/>
        <w:jc w:val="both"/>
      </w:pPr>
      <w:r>
        <w:t>This chapter introduces the Net Zero Commission, including what it is, its functions, how it was established, the guiding principles which it must consider, how it will report to Parliament, and the existing legislative framework in which it operates.</w:t>
      </w:r>
    </w:p>
    <w:p w14:paraId="141C9EE9" w14:textId="77777777" w:rsidR="005F52AE" w:rsidRPr="00E865C0" w:rsidRDefault="005F52AE" w:rsidP="00D0367D">
      <w:pPr>
        <w:pStyle w:val="ChapterHeadingOne"/>
      </w:pPr>
      <w:bookmarkStart w:id="48" w:name="_Toc194052238"/>
      <w:r w:rsidRPr="00E865C0">
        <w:t>Net Zero Commission</w:t>
      </w:r>
      <w:bookmarkEnd w:id="48"/>
    </w:p>
    <w:p w14:paraId="2908FC8E" w14:textId="41330961" w:rsidR="005F52AE" w:rsidRDefault="005F52AE" w:rsidP="005F52AE">
      <w:pPr>
        <w:pStyle w:val="ChapterBody"/>
        <w:numPr>
          <w:ilvl w:val="1"/>
          <w:numId w:val="5"/>
        </w:numPr>
        <w:ind w:left="850" w:hanging="850"/>
      </w:pPr>
      <w:r w:rsidRPr="00E865C0">
        <w:t xml:space="preserve">The Net Zero Commission ('the </w:t>
      </w:r>
      <w:r>
        <w:t>commission</w:t>
      </w:r>
      <w:r w:rsidRPr="00E865C0">
        <w:t>') was established in December 2023 under the</w:t>
      </w:r>
      <w:r w:rsidRPr="00E865C0">
        <w:rPr>
          <w:i/>
          <w:iCs/>
        </w:rPr>
        <w:t xml:space="preserve"> Climate Change Net Zero Act 2023</w:t>
      </w:r>
      <w:r w:rsidRPr="00E865C0">
        <w:t xml:space="preserve"> ('the Act').</w:t>
      </w:r>
      <w:r w:rsidR="00855F2E">
        <w:rPr>
          <w:rFonts w:ascii="ZWAdobeF" w:hAnsi="ZWAdobeF" w:cs="ZWAdobeF"/>
          <w:sz w:val="2"/>
          <w:szCs w:val="2"/>
        </w:rPr>
        <w:t>1F</w:t>
      </w:r>
      <w:r w:rsidRPr="00E865C0">
        <w:rPr>
          <w:rStyle w:val="FootnoteReference"/>
        </w:rPr>
        <w:footnoteReference w:id="3"/>
      </w:r>
      <w:r w:rsidRPr="00E865C0">
        <w:t xml:space="preserve"> The </w:t>
      </w:r>
      <w:r>
        <w:t>commission</w:t>
      </w:r>
      <w:r w:rsidRPr="00E865C0">
        <w:t xml:space="preserve"> replaced the Net Zero Emissions and Clean Economy Board.</w:t>
      </w:r>
      <w:r w:rsidR="00855F2E">
        <w:rPr>
          <w:rFonts w:ascii="ZWAdobeF" w:hAnsi="ZWAdobeF" w:cs="ZWAdobeF"/>
          <w:sz w:val="2"/>
          <w:szCs w:val="2"/>
        </w:rPr>
        <w:t>2F</w:t>
      </w:r>
      <w:r w:rsidRPr="00E865C0">
        <w:rPr>
          <w:rStyle w:val="FootnoteReference"/>
        </w:rPr>
        <w:footnoteReference w:id="4"/>
      </w:r>
      <w:r w:rsidRPr="00E865C0">
        <w:t xml:space="preserve"> The following sections briefly detail the </w:t>
      </w:r>
      <w:r>
        <w:t>commission</w:t>
      </w:r>
      <w:r w:rsidRPr="00E865C0">
        <w:t>'s functions, constitution, guiding principles and annual reporting requirements.</w:t>
      </w:r>
    </w:p>
    <w:p w14:paraId="58CD97FF" w14:textId="5DFBAB4C" w:rsidR="005F52AE" w:rsidRDefault="005F52AE" w:rsidP="005F52AE">
      <w:pPr>
        <w:pStyle w:val="ChapterBody"/>
        <w:numPr>
          <w:ilvl w:val="1"/>
          <w:numId w:val="5"/>
        </w:numPr>
        <w:ind w:left="850" w:hanging="850"/>
      </w:pPr>
      <w:r>
        <w:t xml:space="preserve">According to the Hon Penny Sharpe MLC, </w:t>
      </w:r>
      <w:r w:rsidRPr="00F06BAF">
        <w:t>Minister for Climate Change</w:t>
      </w:r>
      <w:r>
        <w:t xml:space="preserve">, the commission will ‘advise on </w:t>
      </w:r>
      <w:r w:rsidRPr="00E061C5">
        <w:t>the environmental, social and economic impacts of proposed actions to address climate change in New South Wales, highlight emerging opportunities and advise on the implementation of New South Wales Government strategies, policies and programs</w:t>
      </w:r>
      <w:r>
        <w:t>’.</w:t>
      </w:r>
      <w:r w:rsidR="00855F2E">
        <w:rPr>
          <w:rFonts w:ascii="ZWAdobeF" w:hAnsi="ZWAdobeF" w:cs="ZWAdobeF"/>
          <w:sz w:val="2"/>
          <w:szCs w:val="2"/>
        </w:rPr>
        <w:t>3F</w:t>
      </w:r>
      <w:r>
        <w:rPr>
          <w:rStyle w:val="FootnoteReference"/>
        </w:rPr>
        <w:footnoteReference w:id="5"/>
      </w:r>
    </w:p>
    <w:p w14:paraId="624CE541" w14:textId="3C4211E0" w:rsidR="005F52AE" w:rsidRDefault="005F52AE" w:rsidP="005F52AE">
      <w:pPr>
        <w:pStyle w:val="ChapterBody"/>
        <w:numPr>
          <w:ilvl w:val="1"/>
          <w:numId w:val="5"/>
        </w:numPr>
        <w:ind w:left="850" w:hanging="850"/>
      </w:pPr>
      <w:r>
        <w:t>The Net Zero Commission is comprised of between five and seven permanent commissioners appointed on the basis of ‘</w:t>
      </w:r>
      <w:r w:rsidRPr="003C4E7C">
        <w:t>their collective skills, qualifications and experience in the best available climate science, economics, technologies, the impacts and effects of climate change and the interests of Aboriginal communities</w:t>
      </w:r>
      <w:r>
        <w:t>’.</w:t>
      </w:r>
      <w:r w:rsidR="00855F2E">
        <w:rPr>
          <w:rFonts w:ascii="ZWAdobeF" w:hAnsi="ZWAdobeF" w:cs="ZWAdobeF"/>
          <w:sz w:val="2"/>
          <w:szCs w:val="2"/>
        </w:rPr>
        <w:t>4F</w:t>
      </w:r>
      <w:r>
        <w:rPr>
          <w:rStyle w:val="FootnoteReference"/>
        </w:rPr>
        <w:footnoteReference w:id="6"/>
      </w:r>
      <w:r>
        <w:t xml:space="preserve"> The permanent commissioners are assisted by the NSW Chief Scientist and up to three temporary commissioners.</w:t>
      </w:r>
      <w:r w:rsidR="00855F2E">
        <w:rPr>
          <w:rFonts w:ascii="ZWAdobeF" w:hAnsi="ZWAdobeF" w:cs="ZWAdobeF"/>
          <w:sz w:val="2"/>
          <w:szCs w:val="2"/>
        </w:rPr>
        <w:t>5F</w:t>
      </w:r>
      <w:r>
        <w:rPr>
          <w:rStyle w:val="FootnoteReference"/>
        </w:rPr>
        <w:footnoteReference w:id="7"/>
      </w:r>
    </w:p>
    <w:p w14:paraId="3B03E3BA" w14:textId="77777777" w:rsidR="005F52AE" w:rsidRPr="00E865C0" w:rsidRDefault="005F52AE" w:rsidP="00D0367D">
      <w:pPr>
        <w:pStyle w:val="ChapterHeadingOne"/>
      </w:pPr>
      <w:bookmarkStart w:id="49" w:name="_Toc194052239"/>
      <w:r w:rsidRPr="00E865C0">
        <w:t>Functions</w:t>
      </w:r>
      <w:r>
        <w:t xml:space="preserve"> of the commission</w:t>
      </w:r>
      <w:bookmarkEnd w:id="49"/>
    </w:p>
    <w:p w14:paraId="1F442CBD" w14:textId="77777777" w:rsidR="005F52AE" w:rsidRPr="00E865C0" w:rsidRDefault="005F52AE" w:rsidP="005F52AE">
      <w:pPr>
        <w:pStyle w:val="ChapterBody"/>
        <w:numPr>
          <w:ilvl w:val="1"/>
          <w:numId w:val="5"/>
        </w:numPr>
        <w:ind w:left="850" w:hanging="850"/>
      </w:pPr>
      <w:r w:rsidRPr="00E865C0">
        <w:t xml:space="preserve">Minister </w:t>
      </w:r>
      <w:r>
        <w:t>Sharpe</w:t>
      </w:r>
      <w:r w:rsidRPr="00E865C0">
        <w:t xml:space="preserve"> explained that the </w:t>
      </w:r>
      <w:r>
        <w:t>commission</w:t>
      </w:r>
      <w:r w:rsidRPr="00E865C0">
        <w:t xml:space="preserve"> is intended to</w:t>
      </w:r>
      <w:r>
        <w:t>:</w:t>
      </w:r>
      <w:r w:rsidRPr="00E865C0">
        <w:t xml:space="preserve"> </w:t>
      </w:r>
    </w:p>
    <w:p w14:paraId="15752428" w14:textId="77777777" w:rsidR="005F52AE" w:rsidRPr="00E865C0" w:rsidRDefault="005F52AE" w:rsidP="00891AA2">
      <w:pPr>
        <w:pStyle w:val="ChapterBullet"/>
      </w:pPr>
      <w:r w:rsidRPr="00E865C0">
        <w:t xml:space="preserve">provide ‘strong, independent expert advice’ on </w:t>
      </w:r>
      <w:r>
        <w:t>‘</w:t>
      </w:r>
      <w:r w:rsidRPr="00E865C0">
        <w:t>developing and accelerating plans</w:t>
      </w:r>
      <w:r>
        <w:t>’</w:t>
      </w:r>
      <w:r w:rsidRPr="00E865C0">
        <w:t xml:space="preserve"> to reduce greenhouse gas emissions</w:t>
      </w:r>
    </w:p>
    <w:p w14:paraId="49F8CFAC" w14:textId="77777777" w:rsidR="005F52AE" w:rsidRDefault="005F52AE" w:rsidP="00891AA2">
      <w:pPr>
        <w:pStyle w:val="ChapterBullet"/>
      </w:pPr>
      <w:r w:rsidRPr="00E865C0">
        <w:t xml:space="preserve">increase </w:t>
      </w:r>
      <w:r>
        <w:t xml:space="preserve">the </w:t>
      </w:r>
      <w:r w:rsidRPr="00E865C0">
        <w:t xml:space="preserve">resilience </w:t>
      </w:r>
      <w:r>
        <w:t xml:space="preserve">of communities, industry and government in New South Wales </w:t>
      </w:r>
      <w:r w:rsidRPr="00E865C0">
        <w:t>to the effects of climate change</w:t>
      </w:r>
    </w:p>
    <w:p w14:paraId="6943DBB7" w14:textId="4DB49CB6" w:rsidR="005F52AE" w:rsidRDefault="005F52AE" w:rsidP="00891AA2">
      <w:pPr>
        <w:pStyle w:val="ChapterBullet"/>
      </w:pPr>
      <w:r w:rsidRPr="00E865C0">
        <w:lastRenderedPageBreak/>
        <w:t xml:space="preserve">provide increased accountability and </w:t>
      </w:r>
      <w:r>
        <w:t xml:space="preserve">timely </w:t>
      </w:r>
      <w:r w:rsidRPr="00E865C0">
        <w:t>feedback for the state to remain ‘on track’ towards net zero targets.</w:t>
      </w:r>
      <w:r w:rsidR="00855F2E">
        <w:rPr>
          <w:rFonts w:ascii="ZWAdobeF" w:hAnsi="ZWAdobeF" w:cs="ZWAdobeF"/>
          <w:sz w:val="2"/>
          <w:szCs w:val="2"/>
        </w:rPr>
        <w:t>6F</w:t>
      </w:r>
      <w:r>
        <w:rPr>
          <w:rStyle w:val="FootnoteReference"/>
        </w:rPr>
        <w:footnoteReference w:id="8"/>
      </w:r>
    </w:p>
    <w:p w14:paraId="6B50DA56" w14:textId="77777777" w:rsidR="005F52AE" w:rsidRPr="00E865C0" w:rsidRDefault="005F52AE" w:rsidP="005F52AE">
      <w:pPr>
        <w:pStyle w:val="ChapterBody"/>
        <w:numPr>
          <w:ilvl w:val="1"/>
          <w:numId w:val="5"/>
        </w:numPr>
        <w:ind w:left="850" w:hanging="850"/>
      </w:pPr>
      <w:r>
        <w:t xml:space="preserve">Part 3, </w:t>
      </w:r>
      <w:r w:rsidRPr="00E865C0">
        <w:t xml:space="preserve">Division 2 of the Act sets out the functions of the </w:t>
      </w:r>
      <w:r>
        <w:t>commission</w:t>
      </w:r>
      <w:r w:rsidRPr="00E865C0">
        <w:t>. Its key functions include:</w:t>
      </w:r>
    </w:p>
    <w:p w14:paraId="17D513CD" w14:textId="77777777" w:rsidR="005F52AE" w:rsidRPr="00E865C0" w:rsidRDefault="005F52AE" w:rsidP="005F52AE">
      <w:pPr>
        <w:pStyle w:val="ChapterBullet"/>
        <w:numPr>
          <w:ilvl w:val="0"/>
          <w:numId w:val="3"/>
        </w:numPr>
        <w:rPr>
          <w:lang w:eastAsia="en-AU"/>
        </w:rPr>
      </w:pPr>
      <w:r w:rsidRPr="00E865C0">
        <w:t xml:space="preserve">to monitor, review and provide recommendations on progress towards the primary emissions targets for the state, </w:t>
      </w:r>
      <w:r w:rsidRPr="00E865C0">
        <w:rPr>
          <w:lang w:eastAsia="en-AU"/>
        </w:rPr>
        <w:t>specifically:</w:t>
      </w:r>
    </w:p>
    <w:p w14:paraId="64654B01" w14:textId="77777777" w:rsidR="005F52AE" w:rsidRPr="00E865C0" w:rsidRDefault="005F52AE" w:rsidP="005F52AE">
      <w:pPr>
        <w:pStyle w:val="ChapterBullet2"/>
        <w:numPr>
          <w:ilvl w:val="1"/>
          <w:numId w:val="3"/>
        </w:numPr>
        <w:spacing w:after="0"/>
        <w:rPr>
          <w:lang w:eastAsia="en-AU"/>
        </w:rPr>
      </w:pPr>
      <w:r w:rsidRPr="00E865C0">
        <w:rPr>
          <w:lang w:eastAsia="en-AU"/>
        </w:rPr>
        <w:t>a 50 per cent reduction on 2005 levels by 2030</w:t>
      </w:r>
    </w:p>
    <w:p w14:paraId="1CFB53A9" w14:textId="77777777" w:rsidR="005F52AE" w:rsidRPr="00E865C0" w:rsidRDefault="005F52AE" w:rsidP="005F52AE">
      <w:pPr>
        <w:pStyle w:val="ChapterBullet2"/>
        <w:numPr>
          <w:ilvl w:val="1"/>
          <w:numId w:val="3"/>
        </w:numPr>
        <w:spacing w:after="0"/>
        <w:rPr>
          <w:lang w:eastAsia="en-AU"/>
        </w:rPr>
      </w:pPr>
      <w:r w:rsidRPr="00E865C0">
        <w:rPr>
          <w:lang w:eastAsia="en-AU"/>
        </w:rPr>
        <w:t>a 70 per cent reduction on 2005 levels by 2035</w:t>
      </w:r>
    </w:p>
    <w:p w14:paraId="70C53C41" w14:textId="77777777" w:rsidR="005F52AE" w:rsidRPr="00E865C0" w:rsidRDefault="005F52AE" w:rsidP="005F52AE">
      <w:pPr>
        <w:pStyle w:val="ChapterBullet2"/>
        <w:numPr>
          <w:ilvl w:val="1"/>
          <w:numId w:val="3"/>
        </w:numPr>
        <w:spacing w:after="0"/>
      </w:pPr>
      <w:r w:rsidRPr="00E865C0">
        <w:rPr>
          <w:lang w:eastAsia="en-AU"/>
        </w:rPr>
        <w:t>net zero by 2050</w:t>
      </w:r>
    </w:p>
    <w:p w14:paraId="59A57CDA" w14:textId="77777777" w:rsidR="005F52AE" w:rsidRPr="00E865C0" w:rsidRDefault="005F52AE" w:rsidP="005F52AE">
      <w:pPr>
        <w:pStyle w:val="ChapterBullet"/>
        <w:numPr>
          <w:ilvl w:val="0"/>
          <w:numId w:val="3"/>
        </w:numPr>
      </w:pPr>
      <w:r w:rsidRPr="00E865C0">
        <w:t xml:space="preserve">to monitor, review and provide recommendations on progress towards the adaptation objective </w:t>
      </w:r>
    </w:p>
    <w:p w14:paraId="3CB39F1F" w14:textId="77777777" w:rsidR="005F52AE" w:rsidRPr="00E865C0" w:rsidRDefault="005F52AE" w:rsidP="005F52AE">
      <w:pPr>
        <w:pStyle w:val="ChapterBullet"/>
        <w:numPr>
          <w:ilvl w:val="0"/>
          <w:numId w:val="3"/>
        </w:numPr>
      </w:pPr>
      <w:r w:rsidRPr="00E865C0">
        <w:t>to monitor and review action currently being taken in New South Wales to address climate change</w:t>
      </w:r>
    </w:p>
    <w:p w14:paraId="51EC3FA1" w14:textId="77777777" w:rsidR="005F52AE" w:rsidRPr="00E865C0" w:rsidRDefault="005F52AE" w:rsidP="005F52AE">
      <w:pPr>
        <w:pStyle w:val="ChapterBullet2"/>
        <w:numPr>
          <w:ilvl w:val="1"/>
          <w:numId w:val="3"/>
        </w:numPr>
        <w:spacing w:after="0"/>
      </w:pPr>
      <w:r w:rsidRPr="00E865C0">
        <w:t xml:space="preserve">with a focus on the environmental, social and economic impacts </w:t>
      </w:r>
    </w:p>
    <w:p w14:paraId="6F51D562" w14:textId="77777777" w:rsidR="005F52AE" w:rsidRPr="00E865C0" w:rsidRDefault="005F52AE" w:rsidP="005F52AE">
      <w:pPr>
        <w:pStyle w:val="ChapterBullet2"/>
        <w:numPr>
          <w:ilvl w:val="1"/>
          <w:numId w:val="3"/>
        </w:numPr>
        <w:spacing w:after="0"/>
      </w:pPr>
      <w:r w:rsidRPr="00E865C0">
        <w:t xml:space="preserve">and a specific focus on the strategies, policies and programs of the </w:t>
      </w:r>
      <w:r>
        <w:t>g</w:t>
      </w:r>
      <w:r w:rsidRPr="00E865C0">
        <w:t xml:space="preserve">overnment </w:t>
      </w:r>
    </w:p>
    <w:p w14:paraId="3173FEE6" w14:textId="77777777" w:rsidR="005F52AE" w:rsidRPr="00E865C0" w:rsidRDefault="005F52AE" w:rsidP="005F52AE">
      <w:pPr>
        <w:pStyle w:val="ChapterBullet"/>
        <w:numPr>
          <w:ilvl w:val="0"/>
          <w:numId w:val="3"/>
        </w:numPr>
      </w:pPr>
      <w:r w:rsidRPr="00E865C0">
        <w:t xml:space="preserve">to identify and recommend action that should be taken by the </w:t>
      </w:r>
      <w:r>
        <w:t>g</w:t>
      </w:r>
      <w:r w:rsidRPr="00E865C0">
        <w:t>overnment</w:t>
      </w:r>
    </w:p>
    <w:p w14:paraId="4A067F6B" w14:textId="24ECBFE5" w:rsidR="005F52AE" w:rsidRPr="00E865C0" w:rsidRDefault="005F52AE" w:rsidP="005F52AE">
      <w:pPr>
        <w:pStyle w:val="ChapterBullet"/>
        <w:numPr>
          <w:ilvl w:val="0"/>
          <w:numId w:val="3"/>
        </w:numPr>
      </w:pPr>
      <w:r w:rsidRPr="00E865C0">
        <w:t xml:space="preserve">to educate and inform the </w:t>
      </w:r>
      <w:r>
        <w:t>g</w:t>
      </w:r>
      <w:r w:rsidRPr="00E865C0">
        <w:t>overnment, business, organisations and individuals to promote action to address climate change.</w:t>
      </w:r>
      <w:r w:rsidR="00855F2E">
        <w:rPr>
          <w:rFonts w:ascii="ZWAdobeF" w:hAnsi="ZWAdobeF" w:cs="ZWAdobeF"/>
          <w:sz w:val="2"/>
          <w:szCs w:val="2"/>
        </w:rPr>
        <w:t>7F</w:t>
      </w:r>
      <w:r w:rsidRPr="00E865C0">
        <w:rPr>
          <w:rStyle w:val="FootnoteReference"/>
        </w:rPr>
        <w:footnoteReference w:id="9"/>
      </w:r>
    </w:p>
    <w:p w14:paraId="7652F8BF" w14:textId="473D731C" w:rsidR="005F52AE" w:rsidRPr="00E865C0" w:rsidRDefault="005F52AE" w:rsidP="005F52AE">
      <w:pPr>
        <w:pStyle w:val="ChapterBody"/>
        <w:numPr>
          <w:ilvl w:val="1"/>
          <w:numId w:val="5"/>
        </w:numPr>
        <w:ind w:left="850" w:hanging="850"/>
      </w:pPr>
      <w:r w:rsidRPr="00E865C0">
        <w:t>In regard to the emission</w:t>
      </w:r>
      <w:r w:rsidR="00804CC6">
        <w:t>s</w:t>
      </w:r>
      <w:r w:rsidRPr="00E865C0">
        <w:t xml:space="preserve"> reduction targets, during the second reading stage, </w:t>
      </w:r>
      <w:r>
        <w:t>Minister</w:t>
      </w:r>
      <w:r w:rsidRPr="00E865C0">
        <w:t xml:space="preserve"> Sharpe and the Hon Jihad Dib MP, Minister for Emergency Services, advised that these targets are intended as a minimum reduction rather than a maximum (i.e. a floor rather than a ceiling).</w:t>
      </w:r>
      <w:r w:rsidR="00855F2E">
        <w:rPr>
          <w:rFonts w:ascii="ZWAdobeF" w:hAnsi="ZWAdobeF" w:cs="ZWAdobeF"/>
          <w:sz w:val="2"/>
          <w:szCs w:val="2"/>
        </w:rPr>
        <w:t>8F</w:t>
      </w:r>
      <w:r w:rsidRPr="00E865C0">
        <w:rPr>
          <w:rStyle w:val="FootnoteReference"/>
        </w:rPr>
        <w:footnoteReference w:id="10"/>
      </w:r>
      <w:r w:rsidRPr="00E865C0">
        <w:t xml:space="preserve"> This is consistent with the Act which makes provision for the emission</w:t>
      </w:r>
      <w:r w:rsidR="001271E0">
        <w:t>s</w:t>
      </w:r>
      <w:r w:rsidRPr="00E865C0">
        <w:t xml:space="preserve"> reduction targets to either be brought forward or increased by prescribing a higher percentage.</w:t>
      </w:r>
      <w:r w:rsidR="00855F2E">
        <w:rPr>
          <w:rFonts w:ascii="ZWAdobeF" w:hAnsi="ZWAdobeF" w:cs="ZWAdobeF"/>
          <w:sz w:val="2"/>
          <w:szCs w:val="2"/>
        </w:rPr>
        <w:t>9F</w:t>
      </w:r>
      <w:r w:rsidRPr="00E865C0">
        <w:rPr>
          <w:rStyle w:val="FootnoteReference"/>
        </w:rPr>
        <w:footnoteReference w:id="11"/>
      </w:r>
    </w:p>
    <w:p w14:paraId="681D9F29" w14:textId="77777777" w:rsidR="005F52AE" w:rsidRPr="00E865C0" w:rsidRDefault="005F52AE" w:rsidP="00D0367D">
      <w:pPr>
        <w:pStyle w:val="ChapterHeadingOne"/>
      </w:pPr>
      <w:bookmarkStart w:id="50" w:name="_Toc194052240"/>
      <w:r w:rsidRPr="00E865C0">
        <w:t>Establishment of the Net Zero Commission</w:t>
      </w:r>
      <w:bookmarkEnd w:id="50"/>
      <w:r w:rsidRPr="00E865C0">
        <w:t xml:space="preserve"> </w:t>
      </w:r>
    </w:p>
    <w:p w14:paraId="536FD7C3" w14:textId="12152EBE" w:rsidR="005F52AE" w:rsidRPr="00E865C0" w:rsidRDefault="005F52AE" w:rsidP="005F52AE">
      <w:pPr>
        <w:pStyle w:val="ChapterBody"/>
        <w:numPr>
          <w:ilvl w:val="1"/>
          <w:numId w:val="5"/>
        </w:numPr>
        <w:ind w:left="850" w:hanging="850"/>
      </w:pPr>
      <w:r w:rsidRPr="00E865C0">
        <w:t xml:space="preserve">The </w:t>
      </w:r>
      <w:r>
        <w:t>commission</w:t>
      </w:r>
      <w:r w:rsidRPr="00E865C0">
        <w:t xml:space="preserve"> </w:t>
      </w:r>
      <w:r>
        <w:t>i</w:t>
      </w:r>
      <w:r w:rsidRPr="00E865C0">
        <w:t xml:space="preserve">s constituted by the Climate Change (Net Zero Future) </w:t>
      </w:r>
      <w:r>
        <w:t xml:space="preserve">Act </w:t>
      </w:r>
      <w:r w:rsidRPr="00E865C0">
        <w:t>2023.</w:t>
      </w:r>
      <w:r w:rsidR="00855F2E">
        <w:rPr>
          <w:rFonts w:ascii="ZWAdobeF" w:hAnsi="ZWAdobeF" w:cs="ZWAdobeF"/>
          <w:sz w:val="2"/>
          <w:szCs w:val="2"/>
        </w:rPr>
        <w:t>10F</w:t>
      </w:r>
      <w:r w:rsidRPr="00E865C0">
        <w:rPr>
          <w:rStyle w:val="FootnoteReference"/>
        </w:rPr>
        <w:footnoteReference w:id="12"/>
      </w:r>
    </w:p>
    <w:p w14:paraId="04B534F3" w14:textId="77777777" w:rsidR="005F52AE" w:rsidRPr="00E865C0" w:rsidRDefault="005F52AE" w:rsidP="005F52AE">
      <w:pPr>
        <w:pStyle w:val="ChapterBody"/>
        <w:numPr>
          <w:ilvl w:val="1"/>
          <w:numId w:val="5"/>
        </w:numPr>
        <w:ind w:left="850" w:hanging="850"/>
      </w:pPr>
      <w:r w:rsidRPr="00E865C0">
        <w:t xml:space="preserve">Sections 12-14 of the Act set out the constitution of the </w:t>
      </w:r>
      <w:r>
        <w:t>commission</w:t>
      </w:r>
      <w:r w:rsidRPr="00E865C0">
        <w:t>, including membership and staff.</w:t>
      </w:r>
    </w:p>
    <w:p w14:paraId="36BD1157" w14:textId="77777777" w:rsidR="005F52AE" w:rsidRPr="00E865C0" w:rsidRDefault="005F52AE" w:rsidP="005F52AE">
      <w:pPr>
        <w:pStyle w:val="ChapterBody"/>
        <w:numPr>
          <w:ilvl w:val="1"/>
          <w:numId w:val="5"/>
        </w:numPr>
        <w:ind w:left="850" w:hanging="850"/>
      </w:pPr>
      <w:r w:rsidRPr="00E865C0">
        <w:t>In July 2024, the NSW Government announced the appointment of the inaugural commissioners:</w:t>
      </w:r>
    </w:p>
    <w:p w14:paraId="0E4EFFE4" w14:textId="77777777" w:rsidR="005F52AE" w:rsidRPr="00E865C0" w:rsidRDefault="005F52AE" w:rsidP="00891AA2">
      <w:pPr>
        <w:pStyle w:val="ChapterBullet"/>
      </w:pPr>
      <w:r w:rsidRPr="00E865C0">
        <w:t>Dr Paul Grimes PSM</w:t>
      </w:r>
      <w:r>
        <w:t xml:space="preserve"> (</w:t>
      </w:r>
      <w:r w:rsidRPr="00F81F91">
        <w:t>Chair</w:t>
      </w:r>
      <w:r>
        <w:t>)</w:t>
      </w:r>
    </w:p>
    <w:p w14:paraId="07BB73AC" w14:textId="77777777" w:rsidR="005F52AE" w:rsidRPr="00E865C0" w:rsidRDefault="005F52AE" w:rsidP="00891AA2">
      <w:pPr>
        <w:pStyle w:val="ChapterBullet"/>
        <w:rPr>
          <w:lang w:eastAsia="en-AU"/>
        </w:rPr>
      </w:pPr>
      <w:r w:rsidRPr="00E865C0">
        <w:lastRenderedPageBreak/>
        <w:t>Ms Maria Atkinson AM</w:t>
      </w:r>
    </w:p>
    <w:p w14:paraId="3D51368C" w14:textId="77777777" w:rsidR="005F52AE" w:rsidRPr="00E865C0" w:rsidRDefault="005F52AE" w:rsidP="00891AA2">
      <w:pPr>
        <w:pStyle w:val="ChapterBullet"/>
      </w:pPr>
      <w:r w:rsidRPr="00E865C0">
        <w:t>Mr Oliver Costello</w:t>
      </w:r>
    </w:p>
    <w:p w14:paraId="6FA66103" w14:textId="51AEF24F" w:rsidR="005F52AE" w:rsidRPr="00E865C0" w:rsidRDefault="005F52AE" w:rsidP="00891AA2">
      <w:pPr>
        <w:pStyle w:val="ChapterBullet"/>
      </w:pPr>
      <w:r w:rsidRPr="00E865C0">
        <w:t>Professor Hugh Durrant-Whyte</w:t>
      </w:r>
      <w:r w:rsidR="00855F2E">
        <w:rPr>
          <w:rFonts w:ascii="ZWAdobeF" w:hAnsi="ZWAdobeF" w:cs="ZWAdobeF"/>
          <w:sz w:val="2"/>
          <w:szCs w:val="2"/>
        </w:rPr>
        <w:t>11F</w:t>
      </w:r>
      <w:r w:rsidRPr="00E865C0">
        <w:rPr>
          <w:rStyle w:val="FootnoteReference"/>
        </w:rPr>
        <w:footnoteReference w:id="13"/>
      </w:r>
    </w:p>
    <w:p w14:paraId="5CE4AD38" w14:textId="77777777" w:rsidR="005F52AE" w:rsidRPr="00E865C0" w:rsidRDefault="005F52AE" w:rsidP="00891AA2">
      <w:pPr>
        <w:pStyle w:val="ChapterBullet"/>
      </w:pPr>
      <w:r w:rsidRPr="00E865C0">
        <w:t xml:space="preserve">Professor Frank </w:t>
      </w:r>
      <w:proofErr w:type="spellStart"/>
      <w:r w:rsidRPr="00E865C0">
        <w:t>Jotzo</w:t>
      </w:r>
      <w:proofErr w:type="spellEnd"/>
    </w:p>
    <w:p w14:paraId="4BD6245F" w14:textId="77777777" w:rsidR="005F52AE" w:rsidRPr="00E865C0" w:rsidRDefault="005F52AE" w:rsidP="00891AA2">
      <w:pPr>
        <w:pStyle w:val="ChapterBullet"/>
      </w:pPr>
      <w:r w:rsidRPr="00E865C0">
        <w:t xml:space="preserve">Ms Katerina </w:t>
      </w:r>
      <w:proofErr w:type="spellStart"/>
      <w:r w:rsidRPr="00E865C0">
        <w:t>Kimmorley</w:t>
      </w:r>
      <w:proofErr w:type="spellEnd"/>
    </w:p>
    <w:p w14:paraId="713E20FB" w14:textId="77777777" w:rsidR="005F52AE" w:rsidRPr="00E865C0" w:rsidRDefault="005F52AE" w:rsidP="00891AA2">
      <w:pPr>
        <w:pStyle w:val="ChapterBullet"/>
      </w:pPr>
      <w:r w:rsidRPr="00E865C0">
        <w:t>Ms Meg McDonald</w:t>
      </w:r>
    </w:p>
    <w:p w14:paraId="77844088" w14:textId="3F929EE2" w:rsidR="005F52AE" w:rsidRPr="00E865C0" w:rsidRDefault="005F52AE" w:rsidP="00891AA2">
      <w:pPr>
        <w:pStyle w:val="ChapterBullet"/>
      </w:pPr>
      <w:r w:rsidRPr="00E865C0">
        <w:t>Professor Andy Pitman AO.</w:t>
      </w:r>
      <w:r w:rsidR="00855F2E">
        <w:rPr>
          <w:rFonts w:ascii="ZWAdobeF" w:hAnsi="ZWAdobeF" w:cs="ZWAdobeF"/>
          <w:sz w:val="2"/>
          <w:szCs w:val="2"/>
        </w:rPr>
        <w:t>12F</w:t>
      </w:r>
      <w:r w:rsidRPr="00E865C0">
        <w:rPr>
          <w:rStyle w:val="FootnoteReference"/>
        </w:rPr>
        <w:footnoteReference w:id="14"/>
      </w:r>
    </w:p>
    <w:p w14:paraId="27AC8B48" w14:textId="77777777" w:rsidR="005F52AE" w:rsidRPr="00E865C0" w:rsidRDefault="005F52AE" w:rsidP="00D0367D">
      <w:pPr>
        <w:pStyle w:val="ChapterHeadingOne"/>
      </w:pPr>
      <w:bookmarkStart w:id="51" w:name="_Toc194052241"/>
      <w:r w:rsidRPr="00E865C0">
        <w:t>Guiding principles</w:t>
      </w:r>
      <w:bookmarkEnd w:id="51"/>
    </w:p>
    <w:p w14:paraId="216815F6" w14:textId="76F1C2E1" w:rsidR="005F52AE" w:rsidRPr="00E865C0" w:rsidRDefault="005F52AE" w:rsidP="005F52AE">
      <w:pPr>
        <w:pStyle w:val="ChapterBody"/>
        <w:numPr>
          <w:ilvl w:val="1"/>
          <w:numId w:val="5"/>
        </w:numPr>
        <w:ind w:left="850" w:hanging="850"/>
        <w:rPr>
          <w:lang w:eastAsia="en-AU"/>
        </w:rPr>
      </w:pPr>
      <w:r>
        <w:rPr>
          <w:lang w:eastAsia="en-AU"/>
        </w:rPr>
        <w:t>Section 8 of the Act contains guiding principles. The commission is required to consider these guiding principles in carrying out its functions.</w:t>
      </w:r>
      <w:r w:rsidR="00855F2E">
        <w:rPr>
          <w:rFonts w:ascii="ZWAdobeF" w:hAnsi="ZWAdobeF" w:cs="ZWAdobeF"/>
          <w:sz w:val="2"/>
          <w:szCs w:val="2"/>
          <w:lang w:eastAsia="en-AU"/>
        </w:rPr>
        <w:t>13F</w:t>
      </w:r>
      <w:r w:rsidRPr="00E865C0">
        <w:rPr>
          <w:rStyle w:val="FootnoteReference"/>
        </w:rPr>
        <w:footnoteReference w:id="15"/>
      </w:r>
      <w:r>
        <w:rPr>
          <w:lang w:eastAsia="en-AU"/>
        </w:rPr>
        <w:t xml:space="preserve"> In its annual report, t</w:t>
      </w:r>
      <w:r w:rsidRPr="00E865C0">
        <w:rPr>
          <w:lang w:eastAsia="en-AU"/>
        </w:rPr>
        <w:t xml:space="preserve">he </w:t>
      </w:r>
      <w:r>
        <w:rPr>
          <w:lang w:eastAsia="en-AU"/>
        </w:rPr>
        <w:t>commission</w:t>
      </w:r>
      <w:r w:rsidRPr="00E865C0">
        <w:rPr>
          <w:lang w:eastAsia="en-AU"/>
        </w:rPr>
        <w:t xml:space="preserve"> </w:t>
      </w:r>
      <w:r>
        <w:rPr>
          <w:lang w:eastAsia="en-AU"/>
        </w:rPr>
        <w:t>said it was</w:t>
      </w:r>
      <w:r w:rsidRPr="00E865C0">
        <w:rPr>
          <w:lang w:eastAsia="en-AU"/>
        </w:rPr>
        <w:t xml:space="preserve"> '</w:t>
      </w:r>
      <w:r w:rsidRPr="00E865C0">
        <w:t>committed' to consultation with all interested stakeholders, and to fulfil its accountabilities with respect to addressing the</w:t>
      </w:r>
      <w:r>
        <w:t>se</w:t>
      </w:r>
      <w:r w:rsidRPr="00E865C0">
        <w:t xml:space="preserve"> guiding principles.</w:t>
      </w:r>
      <w:r w:rsidR="00855F2E">
        <w:rPr>
          <w:rFonts w:ascii="ZWAdobeF" w:hAnsi="ZWAdobeF" w:cs="ZWAdobeF"/>
          <w:sz w:val="2"/>
          <w:szCs w:val="2"/>
        </w:rPr>
        <w:t>14F</w:t>
      </w:r>
      <w:r w:rsidRPr="00E865C0">
        <w:rPr>
          <w:rStyle w:val="FootnoteReference"/>
        </w:rPr>
        <w:footnoteReference w:id="16"/>
      </w:r>
      <w:r w:rsidRPr="00E865C0">
        <w:t xml:space="preserve"> </w:t>
      </w:r>
    </w:p>
    <w:p w14:paraId="311F38D0" w14:textId="33CE3C22" w:rsidR="005F52AE" w:rsidRPr="00E865C0" w:rsidRDefault="005F52AE" w:rsidP="005F52AE">
      <w:pPr>
        <w:pStyle w:val="ChapterBody"/>
        <w:numPr>
          <w:ilvl w:val="1"/>
          <w:numId w:val="5"/>
        </w:numPr>
        <w:ind w:left="850" w:hanging="850"/>
        <w:rPr>
          <w:lang w:eastAsia="en-AU"/>
        </w:rPr>
      </w:pPr>
      <w:r w:rsidRPr="00E865C0">
        <w:t>These guiding principles include that 'there is a critical need to act to address climate change, which is a serious threat to the social, economic and environmental wellbeing of New South Wales'.</w:t>
      </w:r>
      <w:r w:rsidR="00855F2E">
        <w:rPr>
          <w:rFonts w:ascii="ZWAdobeF" w:hAnsi="ZWAdobeF" w:cs="ZWAdobeF"/>
          <w:sz w:val="2"/>
          <w:szCs w:val="2"/>
        </w:rPr>
        <w:t>15F</w:t>
      </w:r>
      <w:r w:rsidRPr="00E865C0">
        <w:rPr>
          <w:rStyle w:val="FootnoteReference"/>
        </w:rPr>
        <w:footnoteReference w:id="17"/>
      </w:r>
      <w:r w:rsidRPr="00E865C0">
        <w:t xml:space="preserve"> This section also provides guidance on how action to address climate change should be taken, specifically:</w:t>
      </w:r>
    </w:p>
    <w:p w14:paraId="15D3511E" w14:textId="77777777" w:rsidR="005F52AE" w:rsidRDefault="005F52AE">
      <w:pPr>
        <w:pStyle w:val="ChapterQuotation"/>
      </w:pPr>
      <w:r w:rsidRPr="00E865C0">
        <w:t xml:space="preserve">(3) Action to address climate change should be taken as early as possible to minimise the cost and adverse impacts of climate change. </w:t>
      </w:r>
    </w:p>
    <w:p w14:paraId="66DB9F4C" w14:textId="77777777" w:rsidR="005F52AE" w:rsidRPr="00E865C0" w:rsidRDefault="005F52AE">
      <w:pPr>
        <w:pStyle w:val="ChapterQuotation"/>
      </w:pPr>
      <w:r w:rsidRPr="00E865C0">
        <w:t xml:space="preserve">(4) Action to address climate change should be taken in a way that— </w:t>
      </w:r>
    </w:p>
    <w:p w14:paraId="127B17AE" w14:textId="77777777" w:rsidR="005F52AE" w:rsidRPr="00E865C0" w:rsidRDefault="005F52AE">
      <w:pPr>
        <w:pStyle w:val="ChapterQuotation"/>
        <w:ind w:left="1440" w:firstLine="720"/>
      </w:pPr>
      <w:r w:rsidRPr="00E865C0">
        <w:t xml:space="preserve">(a) is fiscally responsible, and </w:t>
      </w:r>
    </w:p>
    <w:p w14:paraId="1748255C" w14:textId="77777777" w:rsidR="005F52AE" w:rsidRPr="00E865C0" w:rsidRDefault="005F52AE">
      <w:pPr>
        <w:pStyle w:val="ChapterQuotation"/>
        <w:ind w:left="1440" w:firstLine="720"/>
      </w:pPr>
      <w:r w:rsidRPr="00E865C0">
        <w:t xml:space="preserve">(b) promotes sustainable economic growth, and </w:t>
      </w:r>
    </w:p>
    <w:p w14:paraId="45CE0846" w14:textId="77777777" w:rsidR="005F52AE" w:rsidRPr="00E865C0" w:rsidRDefault="005F52AE">
      <w:pPr>
        <w:pStyle w:val="ChapterQuotation"/>
        <w:ind w:left="2160"/>
      </w:pPr>
      <w:r w:rsidRPr="00E865C0">
        <w:t xml:space="preserve">(c) considers the economic risks of delaying action to address climate change, and </w:t>
      </w:r>
    </w:p>
    <w:p w14:paraId="0C2034B5" w14:textId="77777777" w:rsidR="005F52AE" w:rsidRPr="00E865C0" w:rsidRDefault="005F52AE">
      <w:pPr>
        <w:pStyle w:val="ChapterQuotation"/>
        <w:ind w:left="2160"/>
      </w:pPr>
      <w:r w:rsidRPr="00E865C0">
        <w:t xml:space="preserve">(d) considers the impact on rural, regional, and remote communities in New South Wales. </w:t>
      </w:r>
    </w:p>
    <w:p w14:paraId="4A92BDF9" w14:textId="77777777" w:rsidR="005F52AE" w:rsidRPr="00E865C0" w:rsidRDefault="005F52AE">
      <w:pPr>
        <w:pStyle w:val="ChapterQuotation"/>
      </w:pPr>
      <w:r w:rsidRPr="00E865C0">
        <w:t xml:space="preserve">(5) Action to address climate change should be consistent with the right to a clean, healthy and sustainable environment. </w:t>
      </w:r>
    </w:p>
    <w:p w14:paraId="7A8ED876" w14:textId="77777777" w:rsidR="005F52AE" w:rsidRPr="00E865C0" w:rsidRDefault="005F52AE">
      <w:pPr>
        <w:pStyle w:val="ChapterQuotation"/>
      </w:pPr>
      <w:r w:rsidRPr="00E865C0">
        <w:lastRenderedPageBreak/>
        <w:t xml:space="preserve">(6) Action to address climate change should be consistent with the principles of ecologically sustainable development described in the </w:t>
      </w:r>
      <w:r w:rsidRPr="00E865C0">
        <w:rPr>
          <w:i/>
          <w:iCs/>
        </w:rPr>
        <w:t>Protection of the Environment Administration Act 1991</w:t>
      </w:r>
      <w:r w:rsidRPr="00E865C0">
        <w:t xml:space="preserve">, section 6(2). </w:t>
      </w:r>
    </w:p>
    <w:p w14:paraId="5513335B" w14:textId="77777777" w:rsidR="005F52AE" w:rsidRPr="00E865C0" w:rsidRDefault="005F52AE">
      <w:pPr>
        <w:pStyle w:val="ChapterQuotation"/>
      </w:pPr>
      <w:r w:rsidRPr="00E865C0">
        <w:t xml:space="preserve">(7) Action to address climate change should involve appropriate consultation with affected persons, communities and stakeholders. </w:t>
      </w:r>
    </w:p>
    <w:p w14:paraId="5CA61A13" w14:textId="77777777" w:rsidR="005F52AE" w:rsidRPr="00E865C0" w:rsidRDefault="005F52AE">
      <w:pPr>
        <w:pStyle w:val="ChapterQuotation"/>
      </w:pPr>
      <w:r w:rsidRPr="00E865C0">
        <w:t xml:space="preserve">(8) Action to address climate change should take into account the following— </w:t>
      </w:r>
    </w:p>
    <w:p w14:paraId="6B4339F2" w14:textId="77777777" w:rsidR="005F52AE" w:rsidRPr="00E865C0" w:rsidRDefault="005F52AE">
      <w:pPr>
        <w:pStyle w:val="ChapterQuotation"/>
        <w:ind w:left="2138" w:firstLine="22"/>
      </w:pPr>
      <w:r w:rsidRPr="00E865C0">
        <w:t xml:space="preserve">(a) the knowledge and perspectives of Aboriginal communities, </w:t>
      </w:r>
    </w:p>
    <w:p w14:paraId="0D12DA19" w14:textId="77777777" w:rsidR="005F52AE" w:rsidRPr="00E865C0" w:rsidRDefault="005F52AE">
      <w:pPr>
        <w:pStyle w:val="ChapterQuotation"/>
        <w:ind w:left="2116" w:firstLine="22"/>
      </w:pPr>
      <w:r w:rsidRPr="00E865C0">
        <w:t xml:space="preserve">(b) the best available science, </w:t>
      </w:r>
    </w:p>
    <w:p w14:paraId="2745BB30" w14:textId="77777777" w:rsidR="005F52AE" w:rsidRPr="00E865C0" w:rsidRDefault="005F52AE">
      <w:pPr>
        <w:pStyle w:val="ChapterQuotation"/>
        <w:ind w:left="2116"/>
      </w:pPr>
      <w:r w:rsidRPr="00E865C0">
        <w:t xml:space="preserve">(c) the knowledge of rural, regional and remote communities in New South Wales, </w:t>
      </w:r>
    </w:p>
    <w:p w14:paraId="392AEC91" w14:textId="77777777" w:rsidR="005F52AE" w:rsidRPr="00E865C0" w:rsidRDefault="005F52AE">
      <w:pPr>
        <w:pStyle w:val="ChapterQuotation"/>
        <w:ind w:left="2094"/>
      </w:pPr>
      <w:r w:rsidRPr="00E865C0">
        <w:t xml:space="preserve">(d) the need to support local communities, including Aboriginal communities, who may be affected by the action, including by— </w:t>
      </w:r>
    </w:p>
    <w:p w14:paraId="3EC23F22" w14:textId="77777777" w:rsidR="005F52AE" w:rsidRPr="00E865C0" w:rsidRDefault="005F52AE">
      <w:pPr>
        <w:pStyle w:val="ChapterQuotation"/>
        <w:ind w:left="2682" w:firstLine="88"/>
      </w:pPr>
      <w:r w:rsidRPr="00E865C0">
        <w:t>(</w:t>
      </w:r>
      <w:proofErr w:type="spellStart"/>
      <w:r w:rsidRPr="00E865C0">
        <w:t>i</w:t>
      </w:r>
      <w:proofErr w:type="spellEnd"/>
      <w:r w:rsidRPr="00E865C0">
        <w:t xml:space="preserve">) considering the impact on local employment and industries, and </w:t>
      </w:r>
    </w:p>
    <w:p w14:paraId="3CFCC7A1" w14:textId="77777777" w:rsidR="005F52AE" w:rsidRPr="00E865C0" w:rsidRDefault="005F52AE">
      <w:pPr>
        <w:pStyle w:val="ChapterQuotation"/>
        <w:ind w:left="2770" w:firstLine="22"/>
      </w:pPr>
      <w:r w:rsidRPr="00E865C0">
        <w:t xml:space="preserve">(ii) diversifying local economies, and </w:t>
      </w:r>
    </w:p>
    <w:p w14:paraId="488341E1" w14:textId="77777777" w:rsidR="005F52AE" w:rsidRPr="00E865C0" w:rsidRDefault="005F52AE">
      <w:pPr>
        <w:pStyle w:val="ChapterQuotation"/>
        <w:ind w:left="2748" w:firstLine="22"/>
      </w:pPr>
      <w:r w:rsidRPr="00E865C0">
        <w:t xml:space="preserve">(iii) encouraging local procurement, and </w:t>
      </w:r>
    </w:p>
    <w:p w14:paraId="6E833F22" w14:textId="77777777" w:rsidR="005F52AE" w:rsidRPr="00E865C0" w:rsidRDefault="005F52AE">
      <w:pPr>
        <w:pStyle w:val="ChapterQuotation"/>
        <w:ind w:left="2726" w:firstLine="22"/>
      </w:pPr>
      <w:r w:rsidRPr="00E865C0">
        <w:t xml:space="preserve">(iv) optimising job creation and employment transition opportunities, and </w:t>
      </w:r>
    </w:p>
    <w:p w14:paraId="3C19F8DB" w14:textId="77777777" w:rsidR="005F52AE" w:rsidRPr="00E865C0" w:rsidRDefault="005F52AE">
      <w:pPr>
        <w:pStyle w:val="ChapterQuotation"/>
        <w:ind w:left="2704" w:firstLine="22"/>
      </w:pPr>
      <w:r w:rsidRPr="00E865C0">
        <w:t xml:space="preserve">(v) considering the impact on the amenity of local communities, </w:t>
      </w:r>
    </w:p>
    <w:p w14:paraId="4B6CCCFD" w14:textId="77777777" w:rsidR="005F52AE" w:rsidRPr="00E865C0" w:rsidRDefault="005F52AE">
      <w:pPr>
        <w:pStyle w:val="ChapterQuotation"/>
        <w:ind w:left="2138" w:firstLine="22"/>
      </w:pPr>
      <w:r w:rsidRPr="00E865C0">
        <w:t xml:space="preserve">(e) the need for education and skills diversification, </w:t>
      </w:r>
    </w:p>
    <w:p w14:paraId="2800E12D" w14:textId="77777777" w:rsidR="005F52AE" w:rsidRPr="00E865C0" w:rsidRDefault="005F52AE">
      <w:pPr>
        <w:pStyle w:val="ChapterQuotation"/>
        <w:ind w:left="2138"/>
      </w:pPr>
      <w:r w:rsidRPr="00E865C0">
        <w:t xml:space="preserve">(f) the need to ensure essential utilities and infrastructure are provided, including energy, water, telecommunications and transport, </w:t>
      </w:r>
    </w:p>
    <w:p w14:paraId="44CB37F7" w14:textId="77777777" w:rsidR="005F52AE" w:rsidRPr="00E865C0" w:rsidRDefault="005F52AE">
      <w:pPr>
        <w:pStyle w:val="ChapterQuotation"/>
        <w:ind w:left="2138"/>
      </w:pPr>
      <w:r w:rsidRPr="00E865C0">
        <w:t xml:space="preserve">(g) the impact of the action on consumer costs in New South Wales, including energy costs, </w:t>
      </w:r>
    </w:p>
    <w:p w14:paraId="432ED68C" w14:textId="77777777" w:rsidR="005F52AE" w:rsidRPr="00E865C0" w:rsidRDefault="005F52AE">
      <w:pPr>
        <w:pStyle w:val="ChapterQuotation"/>
        <w:ind w:left="2116" w:firstLine="22"/>
      </w:pPr>
      <w:r w:rsidRPr="00E865C0">
        <w:t xml:space="preserve">(h) the need to reduce the risk climate change poses to human health, </w:t>
      </w:r>
    </w:p>
    <w:p w14:paraId="76E98E33" w14:textId="77777777" w:rsidR="005F52AE" w:rsidRPr="00E865C0" w:rsidRDefault="005F52AE">
      <w:pPr>
        <w:pStyle w:val="ChapterQuotation"/>
        <w:ind w:left="2116"/>
      </w:pPr>
      <w:r w:rsidRPr="00E865C0">
        <w:t>(</w:t>
      </w:r>
      <w:proofErr w:type="spellStart"/>
      <w:r w:rsidRPr="00E865C0">
        <w:t>i</w:t>
      </w:r>
      <w:proofErr w:type="spellEnd"/>
      <w:r w:rsidRPr="00E865C0">
        <w:t xml:space="preserve">) equity and social justice impacts on socially disadvantaged groups and economically vulnerable regions, </w:t>
      </w:r>
    </w:p>
    <w:p w14:paraId="79013675" w14:textId="77777777" w:rsidR="005F52AE" w:rsidRPr="00E865C0" w:rsidRDefault="005F52AE">
      <w:pPr>
        <w:pStyle w:val="ChapterQuotation"/>
        <w:ind w:left="2094" w:firstLine="22"/>
      </w:pPr>
      <w:r w:rsidRPr="00E865C0">
        <w:t xml:space="preserve">(j) the need to reduce the risk climate change poses to the survival of all species. </w:t>
      </w:r>
    </w:p>
    <w:p w14:paraId="3E931121" w14:textId="762E71C3" w:rsidR="005F52AE" w:rsidRPr="00E865C0" w:rsidRDefault="005F52AE">
      <w:pPr>
        <w:pStyle w:val="ChapterQuotation"/>
      </w:pPr>
      <w:r w:rsidRPr="00E865C0">
        <w:t>(9) Action to address climate change should take into account the impact on animal</w:t>
      </w:r>
      <w:r w:rsidR="00435420">
        <w:t>s</w:t>
      </w:r>
      <w:r w:rsidR="00DF536E">
        <w:t>.</w:t>
      </w:r>
    </w:p>
    <w:p w14:paraId="2B04E4C0" w14:textId="77777777" w:rsidR="005F52AE" w:rsidRPr="00E865C0" w:rsidRDefault="005F52AE">
      <w:pPr>
        <w:pStyle w:val="ChapterQuotation"/>
      </w:pPr>
      <w:r w:rsidRPr="00E865C0">
        <w:t>(10) The Government of New South Wales is responsible for—</w:t>
      </w:r>
    </w:p>
    <w:p w14:paraId="75C85158" w14:textId="77777777" w:rsidR="005F52AE" w:rsidRPr="00E865C0" w:rsidRDefault="005F52AE">
      <w:pPr>
        <w:pStyle w:val="ChapterQuotation"/>
        <w:ind w:left="2160"/>
      </w:pPr>
      <w:r w:rsidRPr="00E865C0">
        <w:t xml:space="preserve">(a) urgently developing and implementing strategies, policies and programs to address climate change, and </w:t>
      </w:r>
    </w:p>
    <w:p w14:paraId="20E594A2" w14:textId="09E5AAB6" w:rsidR="005F52AE" w:rsidRPr="00E865C0" w:rsidRDefault="005F52AE">
      <w:pPr>
        <w:pStyle w:val="ChapterQuotation"/>
        <w:ind w:left="2160"/>
        <w:rPr>
          <w:lang w:eastAsia="en-AU"/>
        </w:rPr>
      </w:pPr>
      <w:r w:rsidRPr="00E865C0">
        <w:lastRenderedPageBreak/>
        <w:t>(b) ensuring the Government of New South Wales pursues best practice in addressing climate change.</w:t>
      </w:r>
      <w:r w:rsidR="00855F2E">
        <w:rPr>
          <w:rFonts w:ascii="ZWAdobeF" w:hAnsi="ZWAdobeF" w:cs="ZWAdobeF"/>
          <w:sz w:val="2"/>
          <w:szCs w:val="2"/>
        </w:rPr>
        <w:t>16F</w:t>
      </w:r>
      <w:r w:rsidRPr="00E865C0">
        <w:rPr>
          <w:rStyle w:val="FootnoteReference"/>
        </w:rPr>
        <w:footnoteReference w:id="18"/>
      </w:r>
    </w:p>
    <w:p w14:paraId="2283C17A" w14:textId="77777777" w:rsidR="005F52AE" w:rsidRPr="00E865C0" w:rsidRDefault="005F52AE" w:rsidP="00D0367D">
      <w:pPr>
        <w:pStyle w:val="ChapterHeadingOne"/>
      </w:pPr>
      <w:bookmarkStart w:id="52" w:name="_Toc194052242"/>
      <w:r w:rsidRPr="00E865C0">
        <w:t>Annual report</w:t>
      </w:r>
      <w:r>
        <w:t>ing</w:t>
      </w:r>
      <w:bookmarkEnd w:id="52"/>
    </w:p>
    <w:p w14:paraId="33A228C2" w14:textId="77777777" w:rsidR="005F52AE" w:rsidRPr="00E865C0" w:rsidRDefault="005F52AE" w:rsidP="005F52AE">
      <w:pPr>
        <w:pStyle w:val="ChapterBody"/>
        <w:numPr>
          <w:ilvl w:val="1"/>
          <w:numId w:val="5"/>
        </w:numPr>
        <w:ind w:left="850" w:hanging="850"/>
      </w:pPr>
      <w:r w:rsidRPr="00E865C0">
        <w:t xml:space="preserve">In accordance with s 21 of the Act, the </w:t>
      </w:r>
      <w:r>
        <w:t>commission</w:t>
      </w:r>
      <w:r w:rsidRPr="00E865C0">
        <w:t xml:space="preserve">'s annual reports must be provided to the </w:t>
      </w:r>
      <w:r>
        <w:t>M</w:t>
      </w:r>
      <w:r w:rsidRPr="00E865C0">
        <w:t>inister</w:t>
      </w:r>
      <w:r>
        <w:t xml:space="preserve"> for Climate Change</w:t>
      </w:r>
      <w:r w:rsidRPr="00E865C0">
        <w:t xml:space="preserve"> by 1 November each year. Moreover, the annual report should include information about the following actions taken during the previous financial year:</w:t>
      </w:r>
    </w:p>
    <w:p w14:paraId="6F02603B" w14:textId="77777777" w:rsidR="005F52AE" w:rsidRPr="00E865C0" w:rsidRDefault="005F52AE" w:rsidP="005F52AE">
      <w:pPr>
        <w:pStyle w:val="ChapterBullet"/>
        <w:numPr>
          <w:ilvl w:val="0"/>
          <w:numId w:val="3"/>
        </w:numPr>
      </w:pPr>
      <w:r w:rsidRPr="00E865C0">
        <w:t>New South Wales's progress towards the primary and interim emissions reductions targets</w:t>
      </w:r>
    </w:p>
    <w:p w14:paraId="4932BBC2" w14:textId="77777777" w:rsidR="005F52AE" w:rsidRPr="00E865C0" w:rsidRDefault="005F52AE" w:rsidP="005F52AE">
      <w:pPr>
        <w:pStyle w:val="ChapterBullet"/>
        <w:numPr>
          <w:ilvl w:val="0"/>
          <w:numId w:val="3"/>
        </w:numPr>
      </w:pPr>
      <w:r w:rsidRPr="00E865C0">
        <w:t>New South Wales's progress in relation to the adaptation objective</w:t>
      </w:r>
    </w:p>
    <w:p w14:paraId="3A59D2ED" w14:textId="77777777" w:rsidR="005F52AE" w:rsidRPr="00E865C0" w:rsidRDefault="005F52AE" w:rsidP="005F52AE">
      <w:pPr>
        <w:pStyle w:val="ChapterBullet"/>
        <w:numPr>
          <w:ilvl w:val="0"/>
          <w:numId w:val="3"/>
        </w:numPr>
      </w:pPr>
      <w:r w:rsidRPr="00E865C0">
        <w:t xml:space="preserve">a summary of all reports given to the Minister by the </w:t>
      </w:r>
      <w:r>
        <w:t>commission</w:t>
      </w:r>
      <w:r w:rsidRPr="00E865C0">
        <w:t xml:space="preserve"> during the financial year</w:t>
      </w:r>
    </w:p>
    <w:p w14:paraId="22FD9296" w14:textId="4AD2D119" w:rsidR="005F52AE" w:rsidRPr="00E865C0" w:rsidRDefault="005F52AE" w:rsidP="005F52AE">
      <w:pPr>
        <w:pStyle w:val="ChapterBullet"/>
        <w:numPr>
          <w:ilvl w:val="0"/>
          <w:numId w:val="3"/>
        </w:numPr>
      </w:pPr>
      <w:r w:rsidRPr="00E865C0">
        <w:t>other matters prescribed by the regulations.</w:t>
      </w:r>
      <w:r w:rsidR="00855F2E">
        <w:rPr>
          <w:rFonts w:ascii="ZWAdobeF" w:hAnsi="ZWAdobeF" w:cs="ZWAdobeF"/>
          <w:sz w:val="2"/>
          <w:szCs w:val="2"/>
        </w:rPr>
        <w:t>17F</w:t>
      </w:r>
      <w:r>
        <w:rPr>
          <w:rStyle w:val="FootnoteReference"/>
        </w:rPr>
        <w:footnoteReference w:id="19"/>
      </w:r>
    </w:p>
    <w:p w14:paraId="74ED38B7" w14:textId="77777777" w:rsidR="005F52AE" w:rsidRPr="00E865C0" w:rsidRDefault="005F52AE" w:rsidP="005F52AE">
      <w:pPr>
        <w:pStyle w:val="ChapterBody"/>
        <w:numPr>
          <w:ilvl w:val="1"/>
          <w:numId w:val="5"/>
        </w:numPr>
        <w:ind w:left="850" w:hanging="850"/>
      </w:pPr>
      <w:r w:rsidRPr="00E865C0">
        <w:t xml:space="preserve">The Act also includes the following provisions regarding the </w:t>
      </w:r>
      <w:r>
        <w:t>commission</w:t>
      </w:r>
      <w:r w:rsidRPr="00E865C0">
        <w:t>'s annual report:</w:t>
      </w:r>
    </w:p>
    <w:p w14:paraId="4BA5B579" w14:textId="14AC82C7" w:rsidR="005F52AE" w:rsidRDefault="005F52AE" w:rsidP="005F52AE">
      <w:pPr>
        <w:pStyle w:val="ChapterBullet"/>
        <w:numPr>
          <w:ilvl w:val="0"/>
          <w:numId w:val="3"/>
        </w:numPr>
      </w:pPr>
      <w:r w:rsidRPr="00E865C0">
        <w:t xml:space="preserve">the </w:t>
      </w:r>
      <w:r>
        <w:t>M</w:t>
      </w:r>
      <w:r w:rsidRPr="00E865C0">
        <w:t xml:space="preserve">inister </w:t>
      </w:r>
      <w:r>
        <w:t>must</w:t>
      </w:r>
      <w:r w:rsidRPr="00E865C0">
        <w:t xml:space="preserve"> table </w:t>
      </w:r>
      <w:r>
        <w:t>the report in</w:t>
      </w:r>
      <w:r w:rsidRPr="00E865C0">
        <w:t xml:space="preserve"> Parliament </w:t>
      </w:r>
      <w:r>
        <w:t>within</w:t>
      </w:r>
      <w:r w:rsidRPr="00E865C0">
        <w:t xml:space="preserve"> 28 days</w:t>
      </w:r>
      <w:r>
        <w:t>,</w:t>
      </w:r>
      <w:r w:rsidR="00855F2E">
        <w:rPr>
          <w:rFonts w:ascii="ZWAdobeF" w:hAnsi="ZWAdobeF" w:cs="ZWAdobeF"/>
          <w:sz w:val="2"/>
          <w:szCs w:val="2"/>
        </w:rPr>
        <w:t>18F</w:t>
      </w:r>
      <w:r>
        <w:rPr>
          <w:rStyle w:val="FootnoteReference"/>
        </w:rPr>
        <w:footnoteReference w:id="20"/>
      </w:r>
      <w:r>
        <w:t xml:space="preserve"> and</w:t>
      </w:r>
    </w:p>
    <w:p w14:paraId="2F2FB980" w14:textId="3921C5D7" w:rsidR="005F52AE" w:rsidRPr="00E865C0" w:rsidRDefault="005F52AE" w:rsidP="005F52AE">
      <w:pPr>
        <w:pStyle w:val="ChapterBullet"/>
        <w:numPr>
          <w:ilvl w:val="0"/>
          <w:numId w:val="3"/>
        </w:numPr>
      </w:pPr>
      <w:r>
        <w:t>the Minister must provide a response</w:t>
      </w:r>
      <w:r w:rsidRPr="00E865C0">
        <w:t xml:space="preserve"> to</w:t>
      </w:r>
      <w:r>
        <w:t xml:space="preserve"> it</w:t>
      </w:r>
      <w:r w:rsidRPr="00E865C0">
        <w:t xml:space="preserve"> within </w:t>
      </w:r>
      <w:r>
        <w:t>four</w:t>
      </w:r>
      <w:r w:rsidRPr="00E865C0">
        <w:t xml:space="preserve"> months</w:t>
      </w:r>
      <w:r>
        <w:t>.</w:t>
      </w:r>
      <w:r w:rsidR="00855F2E">
        <w:rPr>
          <w:rFonts w:ascii="ZWAdobeF" w:hAnsi="ZWAdobeF" w:cs="ZWAdobeF"/>
          <w:sz w:val="2"/>
          <w:szCs w:val="2"/>
        </w:rPr>
        <w:t>19F</w:t>
      </w:r>
      <w:r>
        <w:rPr>
          <w:rStyle w:val="FootnoteReference"/>
        </w:rPr>
        <w:footnoteReference w:id="21"/>
      </w:r>
    </w:p>
    <w:p w14:paraId="54EC3578" w14:textId="77777777" w:rsidR="005F52AE" w:rsidRPr="00E865C0" w:rsidRDefault="005F52AE" w:rsidP="00D0367D">
      <w:pPr>
        <w:pStyle w:val="ChapterHeadingOne"/>
      </w:pPr>
      <w:bookmarkStart w:id="53" w:name="_Toc194052243"/>
      <w:r w:rsidRPr="00E865C0">
        <w:t>2024 Annual Report</w:t>
      </w:r>
      <w:bookmarkEnd w:id="53"/>
    </w:p>
    <w:p w14:paraId="04CC31DC" w14:textId="77777777" w:rsidR="005F52AE" w:rsidRPr="00E865C0" w:rsidRDefault="005F52AE" w:rsidP="005F52AE">
      <w:pPr>
        <w:pStyle w:val="ChapterBody"/>
        <w:numPr>
          <w:ilvl w:val="1"/>
          <w:numId w:val="5"/>
        </w:numPr>
        <w:ind w:left="850" w:hanging="850"/>
      </w:pPr>
      <w:r w:rsidRPr="00E865C0">
        <w:t xml:space="preserve">The </w:t>
      </w:r>
      <w:r>
        <w:t>commission</w:t>
      </w:r>
      <w:r w:rsidRPr="00E865C0">
        <w:t xml:space="preserve"> released its first annual report in November 2024. The </w:t>
      </w:r>
      <w:r>
        <w:t>commission</w:t>
      </w:r>
      <w:r w:rsidRPr="00E865C0">
        <w:t xml:space="preserve"> noted that the report has not been informed by significant stakeholder consultation as it had only recently been established. It expects to undertake more in-depth stakeholder engagement for future reports:</w:t>
      </w:r>
    </w:p>
    <w:p w14:paraId="28A182AA" w14:textId="5FAF8FC3" w:rsidR="005F52AE" w:rsidRPr="00E865C0" w:rsidRDefault="005F52AE">
      <w:pPr>
        <w:pStyle w:val="ChapterQuotation"/>
      </w:pPr>
      <w:r w:rsidRPr="00E865C0">
        <w:t>The report is constrained in its scope and depth of analysis given the Commission has had very limited time to both become established and to consider a very broad range of matters. This timing has also meant that this first annual report is not informed by the depth of stakeholder engagement the Commission expects to undertake as a fundamental part of its functions in future years.</w:t>
      </w:r>
      <w:r w:rsidR="00855F2E">
        <w:rPr>
          <w:rFonts w:ascii="ZWAdobeF" w:hAnsi="ZWAdobeF" w:cs="ZWAdobeF"/>
          <w:sz w:val="2"/>
          <w:szCs w:val="2"/>
        </w:rPr>
        <w:t>20F</w:t>
      </w:r>
      <w:r w:rsidRPr="00E865C0">
        <w:rPr>
          <w:rStyle w:val="FootnoteReference"/>
        </w:rPr>
        <w:footnoteReference w:id="22"/>
      </w:r>
    </w:p>
    <w:p w14:paraId="571E8102" w14:textId="6D2B10B1" w:rsidR="005F52AE" w:rsidRPr="00E865C0" w:rsidRDefault="005F52AE" w:rsidP="005F52AE">
      <w:pPr>
        <w:pStyle w:val="ChapterBody"/>
        <w:numPr>
          <w:ilvl w:val="1"/>
          <w:numId w:val="5"/>
        </w:numPr>
        <w:ind w:left="850" w:hanging="850"/>
      </w:pPr>
      <w:r w:rsidRPr="00E865C0">
        <w:t xml:space="preserve">Nonetheless, the </w:t>
      </w:r>
      <w:r>
        <w:t>commission</w:t>
      </w:r>
      <w:r w:rsidRPr="00E865C0">
        <w:t xml:space="preserve"> explained that its report outlines the current New South Wales position in relation to the legislated targets and provides a template for engagement with New South Wales Government agencies going forward.</w:t>
      </w:r>
      <w:r w:rsidR="00855F2E">
        <w:rPr>
          <w:rFonts w:ascii="ZWAdobeF" w:hAnsi="ZWAdobeF" w:cs="ZWAdobeF"/>
          <w:sz w:val="2"/>
          <w:szCs w:val="2"/>
        </w:rPr>
        <w:t>21F</w:t>
      </w:r>
      <w:r w:rsidRPr="00E865C0">
        <w:rPr>
          <w:rStyle w:val="FootnoteReference"/>
        </w:rPr>
        <w:footnoteReference w:id="23"/>
      </w:r>
    </w:p>
    <w:p w14:paraId="48480DFB" w14:textId="6E25FF32" w:rsidR="005F52AE" w:rsidRDefault="005F52AE" w:rsidP="005F52AE">
      <w:pPr>
        <w:pStyle w:val="ChapterBody"/>
        <w:numPr>
          <w:ilvl w:val="1"/>
          <w:numId w:val="5"/>
        </w:numPr>
        <w:ind w:left="850" w:hanging="850"/>
      </w:pPr>
      <w:r w:rsidRPr="00E865C0">
        <w:lastRenderedPageBreak/>
        <w:t xml:space="preserve">The </w:t>
      </w:r>
      <w:r>
        <w:t>commission</w:t>
      </w:r>
      <w:r w:rsidRPr="00E865C0">
        <w:t xml:space="preserve"> provided its 2024 </w:t>
      </w:r>
      <w:r w:rsidR="00002F6E">
        <w:t>a</w:t>
      </w:r>
      <w:r w:rsidRPr="00E865C0">
        <w:t xml:space="preserve">nnual </w:t>
      </w:r>
      <w:r w:rsidR="00002F6E">
        <w:t>r</w:t>
      </w:r>
      <w:r w:rsidRPr="00E865C0">
        <w:t xml:space="preserve">eport to </w:t>
      </w:r>
      <w:r>
        <w:t xml:space="preserve">the Minister for Climate Change on 1 November 2024, it was subsequently tabled out of session on </w:t>
      </w:r>
      <w:proofErr w:type="gramStart"/>
      <w:r>
        <w:t>29 November 2024, and</w:t>
      </w:r>
      <w:proofErr w:type="gramEnd"/>
      <w:r>
        <w:t xml:space="preserve"> reported in the Legislative Council on 11 February 2025.</w:t>
      </w:r>
      <w:r w:rsidR="00855F2E">
        <w:rPr>
          <w:rFonts w:ascii="ZWAdobeF" w:hAnsi="ZWAdobeF" w:cs="ZWAdobeF"/>
          <w:sz w:val="2"/>
          <w:szCs w:val="2"/>
        </w:rPr>
        <w:t>22F</w:t>
      </w:r>
      <w:r>
        <w:rPr>
          <w:rStyle w:val="FootnoteReference"/>
        </w:rPr>
        <w:footnoteReference w:id="24"/>
      </w:r>
    </w:p>
    <w:p w14:paraId="0F4D3160" w14:textId="450E467E" w:rsidR="005F52AE" w:rsidRPr="00E865C0" w:rsidRDefault="005F52AE" w:rsidP="005F52AE">
      <w:pPr>
        <w:pStyle w:val="ChapterBody"/>
        <w:numPr>
          <w:ilvl w:val="1"/>
          <w:numId w:val="5"/>
        </w:numPr>
        <w:ind w:left="850" w:hanging="850"/>
      </w:pPr>
      <w:r w:rsidRPr="00E865C0">
        <w:t>The Joint Standing Committee on Net Zero Future commenced its inquiry into the 2024 Annual Report of the Net Zero Commission on 13 December 2024.</w:t>
      </w:r>
      <w:r w:rsidR="00855F2E">
        <w:rPr>
          <w:rFonts w:ascii="ZWAdobeF" w:hAnsi="ZWAdobeF" w:cs="ZWAdobeF"/>
          <w:sz w:val="2"/>
          <w:szCs w:val="2"/>
        </w:rPr>
        <w:t>23F</w:t>
      </w:r>
      <w:r w:rsidRPr="00E865C0">
        <w:rPr>
          <w:rStyle w:val="FootnoteReference"/>
        </w:rPr>
        <w:footnoteReference w:id="25"/>
      </w:r>
      <w:r w:rsidRPr="00E865C0">
        <w:t xml:space="preserve"> Details about the establishment of the committee are set out in the following section.</w:t>
      </w:r>
    </w:p>
    <w:p w14:paraId="1F6BE587" w14:textId="77777777" w:rsidR="005F52AE" w:rsidRPr="00E865C0" w:rsidRDefault="005F52AE">
      <w:pPr>
        <w:pStyle w:val="ChapterHeadingOne"/>
      </w:pPr>
      <w:bookmarkStart w:id="54" w:name="_Toc194052244"/>
      <w:r>
        <w:t xml:space="preserve">The </w:t>
      </w:r>
      <w:r w:rsidRPr="00E865C0">
        <w:t>Joint Standing Committee on Net Zero Future</w:t>
      </w:r>
      <w:bookmarkEnd w:id="54"/>
    </w:p>
    <w:p w14:paraId="0951219F" w14:textId="4FB335AD" w:rsidR="005F52AE" w:rsidRPr="00E865C0" w:rsidRDefault="005F52AE" w:rsidP="005F52AE">
      <w:pPr>
        <w:pStyle w:val="ChapterBody"/>
        <w:numPr>
          <w:ilvl w:val="1"/>
          <w:numId w:val="5"/>
        </w:numPr>
        <w:ind w:left="850" w:hanging="850"/>
      </w:pPr>
      <w:r w:rsidRPr="00E865C0">
        <w:t>On 20 June 2024, the Legislative Council resolved to establish the Joint Standing Committee on Net Zero Future ('the committee').</w:t>
      </w:r>
      <w:r w:rsidR="00855F2E">
        <w:rPr>
          <w:rFonts w:ascii="ZWAdobeF" w:hAnsi="ZWAdobeF" w:cs="ZWAdobeF"/>
          <w:sz w:val="2"/>
          <w:szCs w:val="2"/>
        </w:rPr>
        <w:t>24F</w:t>
      </w:r>
      <w:r w:rsidRPr="00E865C0">
        <w:rPr>
          <w:rStyle w:val="FootnoteReference"/>
        </w:rPr>
        <w:footnoteReference w:id="26"/>
      </w:r>
      <w:r w:rsidRPr="00E865C0">
        <w:t xml:space="preserve"> The resolution details the functions of the committee, its constitution, including identifying specific committee members from the Legislative Council and their roles, and its operating procedures, such as quorum, powers to publish committee documents and conduct committee activities. The resolution is reproduced below:</w:t>
      </w:r>
    </w:p>
    <w:p w14:paraId="08837F5F" w14:textId="77777777" w:rsidR="005F52AE" w:rsidRPr="00E865C0" w:rsidRDefault="005F52AE" w:rsidP="005F52AE">
      <w:pPr>
        <w:pStyle w:val="ChapterQuotation"/>
        <w:numPr>
          <w:ilvl w:val="3"/>
          <w:numId w:val="23"/>
        </w:numPr>
      </w:pPr>
      <w:r w:rsidRPr="00E865C0">
        <w:t>That a joint standing committee be established to inquire into and report on Net Zero Future, in particular:</w:t>
      </w:r>
    </w:p>
    <w:p w14:paraId="37BA123D" w14:textId="77777777" w:rsidR="005F52AE" w:rsidRPr="00E865C0" w:rsidRDefault="005F52AE" w:rsidP="005F52AE">
      <w:pPr>
        <w:pStyle w:val="ChapterQuotation"/>
        <w:numPr>
          <w:ilvl w:val="4"/>
          <w:numId w:val="23"/>
        </w:numPr>
      </w:pPr>
      <w:r w:rsidRPr="00E865C0">
        <w:t xml:space="preserve">to monitor and review the exercise of the Net Zero Commission's functions under the Climate Change (Net Zero Future) Act 2023, </w:t>
      </w:r>
    </w:p>
    <w:p w14:paraId="785A86DF" w14:textId="77777777" w:rsidR="005F52AE" w:rsidRPr="00E865C0" w:rsidRDefault="005F52AE" w:rsidP="005F52AE">
      <w:pPr>
        <w:pStyle w:val="ChapterQuotation"/>
        <w:numPr>
          <w:ilvl w:val="4"/>
          <w:numId w:val="23"/>
        </w:numPr>
      </w:pPr>
      <w:r w:rsidRPr="00E865C0">
        <w:t>to examine each annual report, and other reports of the Net Zero Commission as the Committee sees fit and to report to both Houses of Parliament on any matter appearing in or arising out of, any such report,</w:t>
      </w:r>
    </w:p>
    <w:p w14:paraId="43F51B9D" w14:textId="77777777" w:rsidR="005F52AE" w:rsidRPr="00E865C0" w:rsidRDefault="005F52AE" w:rsidP="005F52AE">
      <w:pPr>
        <w:pStyle w:val="ChapterQuotation"/>
        <w:numPr>
          <w:ilvl w:val="4"/>
          <w:numId w:val="23"/>
        </w:numPr>
      </w:pPr>
      <w:r w:rsidRPr="00E865C0">
        <w:t>to inquire into any question in connection with the Committee's functions which is referred to it by both Houses of Parliament and to report to both Houses on that question, and</w:t>
      </w:r>
    </w:p>
    <w:p w14:paraId="2D312097" w14:textId="77777777" w:rsidR="005F52AE" w:rsidRPr="00E865C0" w:rsidRDefault="005F52AE" w:rsidP="005F52AE">
      <w:pPr>
        <w:pStyle w:val="ChapterQuotation"/>
        <w:numPr>
          <w:ilvl w:val="4"/>
          <w:numId w:val="23"/>
        </w:numPr>
      </w:pPr>
      <w:r w:rsidRPr="00E865C0">
        <w:t>any other related matters.</w:t>
      </w:r>
    </w:p>
    <w:p w14:paraId="50BC106E" w14:textId="77777777" w:rsidR="005F52AE" w:rsidRPr="00E865C0" w:rsidRDefault="005F52AE" w:rsidP="005F52AE">
      <w:pPr>
        <w:pStyle w:val="ChapterQuotation"/>
        <w:numPr>
          <w:ilvl w:val="3"/>
          <w:numId w:val="23"/>
        </w:numPr>
      </w:pPr>
      <w:r w:rsidRPr="00E865C0">
        <w:t>That, notwithstanding anything to the contrary in the standing orders of either House, the committee consist of 12 members comprising:</w:t>
      </w:r>
    </w:p>
    <w:p w14:paraId="59CF220D" w14:textId="77777777" w:rsidR="005F52AE" w:rsidRPr="00E865C0" w:rsidRDefault="005F52AE" w:rsidP="005F52AE">
      <w:pPr>
        <w:pStyle w:val="ChapterQuotation"/>
        <w:numPr>
          <w:ilvl w:val="4"/>
          <w:numId w:val="23"/>
        </w:numPr>
      </w:pPr>
      <w:r w:rsidRPr="00E865C0">
        <w:t>five members of the Legislative Assembly, and</w:t>
      </w:r>
    </w:p>
    <w:p w14:paraId="7A5A419C" w14:textId="77777777" w:rsidR="005F52AE" w:rsidRPr="00E865C0" w:rsidRDefault="005F52AE" w:rsidP="005F52AE">
      <w:pPr>
        <w:pStyle w:val="ChapterQuotation"/>
        <w:numPr>
          <w:ilvl w:val="4"/>
          <w:numId w:val="23"/>
        </w:numPr>
      </w:pPr>
      <w:r w:rsidRPr="00E865C0">
        <w:t>seven members of the Legislative Council, of whom</w:t>
      </w:r>
    </w:p>
    <w:p w14:paraId="7393E54B" w14:textId="77777777" w:rsidR="005F52AE" w:rsidRPr="00E865C0" w:rsidRDefault="005F52AE" w:rsidP="005F52AE">
      <w:pPr>
        <w:pStyle w:val="ChapterQuotation"/>
        <w:numPr>
          <w:ilvl w:val="5"/>
          <w:numId w:val="23"/>
        </w:numPr>
      </w:pPr>
      <w:r w:rsidRPr="00E865C0">
        <w:t>three are government members, being Mr Cameron Murphy, Ms Emily Suvaal and Mr Mark Buttigieg,</w:t>
      </w:r>
    </w:p>
    <w:p w14:paraId="0BD0768B" w14:textId="77777777" w:rsidR="005F52AE" w:rsidRPr="00E865C0" w:rsidRDefault="005F52AE" w:rsidP="005F52AE">
      <w:pPr>
        <w:pStyle w:val="ChapterQuotation"/>
        <w:numPr>
          <w:ilvl w:val="5"/>
          <w:numId w:val="23"/>
        </w:numPr>
      </w:pPr>
      <w:r w:rsidRPr="00E865C0">
        <w:t>four are non-government members, being Mr Wes Fang, Ms Jacqui Munro, Ms Susan Higginson and Mr Jeremy Buckingham.</w:t>
      </w:r>
    </w:p>
    <w:p w14:paraId="5760758E" w14:textId="77777777" w:rsidR="005F52AE" w:rsidRPr="00E865C0" w:rsidRDefault="005F52AE" w:rsidP="005F52AE">
      <w:pPr>
        <w:pStyle w:val="ChapterQuotation"/>
        <w:numPr>
          <w:ilvl w:val="3"/>
          <w:numId w:val="23"/>
        </w:numPr>
      </w:pPr>
      <w:r w:rsidRPr="00E865C0">
        <w:t>That the Chair of the committee be Mr Jeremy Buckingham and that the Deputy Chair be appointed by the Legislative Assembly.</w:t>
      </w:r>
    </w:p>
    <w:p w14:paraId="2A8AB83B" w14:textId="77777777" w:rsidR="005F52AE" w:rsidRPr="00E865C0" w:rsidRDefault="005F52AE" w:rsidP="005F52AE">
      <w:pPr>
        <w:pStyle w:val="ChapterQuotation"/>
        <w:numPr>
          <w:ilvl w:val="3"/>
          <w:numId w:val="23"/>
        </w:numPr>
      </w:pPr>
      <w:r w:rsidRPr="00E865C0">
        <w:lastRenderedPageBreak/>
        <w:t>That, notwithstanding anything in the standing orders of either House, at any meeting of the committee, any seven members of the committee will constitute a quorum, provided that at least one member of each House is present at all times.</w:t>
      </w:r>
    </w:p>
    <w:p w14:paraId="26CA7BA3" w14:textId="77777777" w:rsidR="005F52AE" w:rsidRPr="00E865C0" w:rsidRDefault="005F52AE" w:rsidP="005F52AE">
      <w:pPr>
        <w:pStyle w:val="ChapterQuotation"/>
        <w:numPr>
          <w:ilvl w:val="3"/>
          <w:numId w:val="23"/>
        </w:numPr>
      </w:pPr>
      <w:r w:rsidRPr="00E865C0">
        <w:t>The committee have leave to make visits of inspection within the New South Wales and elsewhere in Australia.</w:t>
      </w:r>
    </w:p>
    <w:p w14:paraId="40F5EBA4" w14:textId="77777777" w:rsidR="005F52AE" w:rsidRPr="00E865C0" w:rsidRDefault="005F52AE" w:rsidP="005F52AE">
      <w:pPr>
        <w:pStyle w:val="ChapterQuotation"/>
        <w:numPr>
          <w:ilvl w:val="3"/>
          <w:numId w:val="23"/>
        </w:numPr>
      </w:pPr>
      <w:r w:rsidRPr="00E865C0">
        <w:t>That, unless the committee decides otherwise:</w:t>
      </w:r>
    </w:p>
    <w:p w14:paraId="355DBABC" w14:textId="599EC392" w:rsidR="005F52AE" w:rsidRPr="00E865C0" w:rsidRDefault="005F52AE" w:rsidP="005F52AE">
      <w:pPr>
        <w:pStyle w:val="ChapterQuotation"/>
        <w:numPr>
          <w:ilvl w:val="4"/>
          <w:numId w:val="23"/>
        </w:numPr>
      </w:pPr>
      <w:r w:rsidRPr="00E865C0">
        <w:t>all inquiries are to be advertised via social media, stakeholder emails and a media release distributed to all media outlets in New South Wales,</w:t>
      </w:r>
    </w:p>
    <w:p w14:paraId="67D19510" w14:textId="77777777" w:rsidR="005F52AE" w:rsidRPr="00E865C0" w:rsidRDefault="005F52AE" w:rsidP="005F52AE">
      <w:pPr>
        <w:pStyle w:val="ChapterQuotation"/>
        <w:numPr>
          <w:ilvl w:val="4"/>
          <w:numId w:val="23"/>
        </w:numPr>
      </w:pPr>
      <w:r w:rsidRPr="00E865C0">
        <w:t>submissions to inquiries are to be published, subject to the Committee Clerk checking for confidentiality and adverse mention and, where those issues arise, bringing them to the attention of the committee for consideration,</w:t>
      </w:r>
    </w:p>
    <w:p w14:paraId="6E506DB0" w14:textId="77777777" w:rsidR="005F52AE" w:rsidRPr="00E865C0" w:rsidRDefault="005F52AE" w:rsidP="005F52AE">
      <w:pPr>
        <w:pStyle w:val="ChapterQuotation"/>
        <w:numPr>
          <w:ilvl w:val="4"/>
          <w:numId w:val="23"/>
        </w:numPr>
      </w:pPr>
      <w:r w:rsidRPr="00E865C0">
        <w:t>attachments to submissions are to remain confidential,</w:t>
      </w:r>
    </w:p>
    <w:p w14:paraId="1E8CE1D7" w14:textId="77777777" w:rsidR="005F52AE" w:rsidRPr="00E865C0" w:rsidRDefault="005F52AE" w:rsidP="005F52AE">
      <w:pPr>
        <w:pStyle w:val="ChapterQuotation"/>
        <w:numPr>
          <w:ilvl w:val="4"/>
          <w:numId w:val="23"/>
        </w:numPr>
      </w:pPr>
      <w:r w:rsidRPr="00E865C0">
        <w:t>the Chair's proposed witness list is to be circulated to provide members with an opportunity to amend the list, with the witness list agreed to by email, unless a member requests the Chair to convene a meeting to resolve any disagreement,</w:t>
      </w:r>
    </w:p>
    <w:p w14:paraId="1DC0B3F9" w14:textId="77777777" w:rsidR="005F52AE" w:rsidRPr="00E865C0" w:rsidRDefault="005F52AE" w:rsidP="005F52AE">
      <w:pPr>
        <w:pStyle w:val="ChapterQuotation"/>
        <w:numPr>
          <w:ilvl w:val="4"/>
          <w:numId w:val="23"/>
        </w:numPr>
      </w:pPr>
      <w:r w:rsidRPr="00E865C0">
        <w:t>the sequence of questions to be asked at hearings alternate between opposition, crossbench and Government members, in that order, with equal time allocated to each,</w:t>
      </w:r>
    </w:p>
    <w:p w14:paraId="04C51A26" w14:textId="77777777" w:rsidR="005F52AE" w:rsidRPr="00E865C0" w:rsidRDefault="005F52AE" w:rsidP="005F52AE">
      <w:pPr>
        <w:pStyle w:val="ChapterQuotation"/>
        <w:numPr>
          <w:ilvl w:val="4"/>
          <w:numId w:val="23"/>
        </w:numPr>
      </w:pPr>
      <w:r w:rsidRPr="00E865C0">
        <w:t>transcripts of evidence taken at public hearings are to be published,</w:t>
      </w:r>
    </w:p>
    <w:p w14:paraId="1888CA3F" w14:textId="77777777" w:rsidR="005F52AE" w:rsidRPr="00E865C0" w:rsidRDefault="005F52AE" w:rsidP="005F52AE">
      <w:pPr>
        <w:pStyle w:val="ChapterQuotation"/>
        <w:numPr>
          <w:ilvl w:val="4"/>
          <w:numId w:val="23"/>
        </w:numPr>
      </w:pPr>
      <w:r w:rsidRPr="00E865C0">
        <w:t>supplementary questions are to be lodged with the Committee Clerk within two business days following the receipt of the hearing transcript, with witnesses requested to return answers to questions on notice and supplementary questions within 21 calendar days of the date on which questions are forwarded to the witness,</w:t>
      </w:r>
    </w:p>
    <w:p w14:paraId="52C38D54" w14:textId="77777777" w:rsidR="005F52AE" w:rsidRPr="00E865C0" w:rsidRDefault="005F52AE" w:rsidP="005F52AE">
      <w:pPr>
        <w:pStyle w:val="ChapterQuotation"/>
        <w:numPr>
          <w:ilvl w:val="4"/>
          <w:numId w:val="23"/>
        </w:numPr>
      </w:pPr>
      <w:r w:rsidRPr="00E865C0">
        <w:t>answers to questions on notice and supplementary questions are to be published, subject to the Committee Clerk checking for confidentiality and adverse mention and, where those issues arise, bringing them to the attention of the committee for consideration, and</w:t>
      </w:r>
    </w:p>
    <w:p w14:paraId="3311C36E" w14:textId="77777777" w:rsidR="005F52AE" w:rsidRPr="00E865C0" w:rsidRDefault="005F52AE" w:rsidP="005F52AE">
      <w:pPr>
        <w:pStyle w:val="ChapterQuotation"/>
        <w:numPr>
          <w:ilvl w:val="4"/>
          <w:numId w:val="23"/>
        </w:numPr>
      </w:pPr>
      <w:r w:rsidRPr="00E865C0">
        <w:t>media statements on behalf of the committee are to be made only by the Chair.</w:t>
      </w:r>
    </w:p>
    <w:p w14:paraId="4B832CBA" w14:textId="6A808838" w:rsidR="005F52AE" w:rsidRPr="00E865C0" w:rsidRDefault="005F52AE" w:rsidP="005F52AE">
      <w:pPr>
        <w:pStyle w:val="ChapterQuotation"/>
        <w:numPr>
          <w:ilvl w:val="3"/>
          <w:numId w:val="23"/>
        </w:numPr>
      </w:pPr>
      <w:r w:rsidRPr="00E865C0">
        <w:t>That a message be sent acquainting the Legislative Assembly with the resolution and requesting the Legislative Assembly appoint five of its members to serve on the committee including appointing a Deputy Chair.</w:t>
      </w:r>
      <w:r w:rsidR="005F558B">
        <w:rPr>
          <w:rStyle w:val="FootnoteReference"/>
        </w:rPr>
        <w:footnoteReference w:id="27"/>
      </w:r>
    </w:p>
    <w:p w14:paraId="0257A647" w14:textId="291F08E3" w:rsidR="005F52AE" w:rsidRPr="00E865C0" w:rsidRDefault="005F52AE" w:rsidP="005F52AE">
      <w:pPr>
        <w:pStyle w:val="ChapterBody"/>
        <w:numPr>
          <w:ilvl w:val="1"/>
          <w:numId w:val="5"/>
        </w:numPr>
        <w:ind w:left="850" w:hanging="850"/>
      </w:pPr>
      <w:r w:rsidRPr="00E865C0">
        <w:t>Following agreement to this resolution in the Legislative Assembly on 20 June 2024,</w:t>
      </w:r>
      <w:r w:rsidR="00855F2E">
        <w:rPr>
          <w:rFonts w:ascii="ZWAdobeF" w:hAnsi="ZWAdobeF" w:cs="ZWAdobeF"/>
          <w:sz w:val="2"/>
          <w:szCs w:val="2"/>
        </w:rPr>
        <w:t>25F</w:t>
      </w:r>
      <w:r>
        <w:rPr>
          <w:rStyle w:val="FootnoteReference"/>
        </w:rPr>
        <w:footnoteReference w:id="28"/>
      </w:r>
      <w:r w:rsidRPr="00E865C0">
        <w:t xml:space="preserve"> the committee was established with the following membership:</w:t>
      </w:r>
    </w:p>
    <w:p w14:paraId="7792A8F0" w14:textId="77777777" w:rsidR="005F52AE" w:rsidRPr="00E865C0" w:rsidRDefault="005F52AE" w:rsidP="005F52AE">
      <w:pPr>
        <w:pStyle w:val="ChapterBullet"/>
        <w:numPr>
          <w:ilvl w:val="0"/>
          <w:numId w:val="3"/>
        </w:numPr>
      </w:pPr>
      <w:r w:rsidRPr="00E865C0">
        <w:t>Hon Jeremy Buckingham MLC</w:t>
      </w:r>
    </w:p>
    <w:p w14:paraId="5067F367" w14:textId="77777777" w:rsidR="005F52AE" w:rsidRPr="00E865C0" w:rsidRDefault="005F52AE" w:rsidP="005F52AE">
      <w:pPr>
        <w:pStyle w:val="ChapterBullet"/>
        <w:numPr>
          <w:ilvl w:val="0"/>
          <w:numId w:val="3"/>
        </w:numPr>
      </w:pPr>
      <w:r w:rsidRPr="00E865C0">
        <w:t>Ms Liza Butler MP</w:t>
      </w:r>
    </w:p>
    <w:p w14:paraId="3EF19CB2" w14:textId="77777777" w:rsidR="005F52AE" w:rsidRPr="00E865C0" w:rsidRDefault="005F52AE" w:rsidP="005F52AE">
      <w:pPr>
        <w:pStyle w:val="ChapterBullet"/>
        <w:numPr>
          <w:ilvl w:val="0"/>
          <w:numId w:val="3"/>
        </w:numPr>
      </w:pPr>
      <w:r w:rsidRPr="00E865C0">
        <w:lastRenderedPageBreak/>
        <w:t>Hon Mark Buttigieg MLC</w:t>
      </w:r>
    </w:p>
    <w:p w14:paraId="5615302E" w14:textId="77777777" w:rsidR="005F52AE" w:rsidRPr="00E865C0" w:rsidRDefault="005F52AE" w:rsidP="005F52AE">
      <w:pPr>
        <w:pStyle w:val="ChapterBullet"/>
        <w:numPr>
          <w:ilvl w:val="0"/>
          <w:numId w:val="3"/>
        </w:numPr>
      </w:pPr>
      <w:r w:rsidRPr="00E865C0">
        <w:t>Ms Trish Doyle MP</w:t>
      </w:r>
    </w:p>
    <w:p w14:paraId="05E6348C" w14:textId="77777777" w:rsidR="005F52AE" w:rsidRPr="00E865C0" w:rsidRDefault="005F52AE" w:rsidP="005F52AE">
      <w:pPr>
        <w:pStyle w:val="ChapterBullet"/>
        <w:numPr>
          <w:ilvl w:val="0"/>
          <w:numId w:val="3"/>
        </w:numPr>
      </w:pPr>
      <w:r w:rsidRPr="00E865C0">
        <w:t>Hon Wes Fang MLC</w:t>
      </w:r>
    </w:p>
    <w:p w14:paraId="6B7A9E8C" w14:textId="77777777" w:rsidR="005F52AE" w:rsidRPr="00E865C0" w:rsidRDefault="005F52AE" w:rsidP="005F52AE">
      <w:pPr>
        <w:pStyle w:val="ChapterBullet"/>
        <w:numPr>
          <w:ilvl w:val="0"/>
          <w:numId w:val="3"/>
        </w:numPr>
      </w:pPr>
      <w:r w:rsidRPr="00E865C0">
        <w:t>Mr James Griffin MP</w:t>
      </w:r>
    </w:p>
    <w:p w14:paraId="5A2149D5" w14:textId="77777777" w:rsidR="005F52AE" w:rsidRPr="00E865C0" w:rsidRDefault="005F52AE" w:rsidP="005F52AE">
      <w:pPr>
        <w:pStyle w:val="ChapterBullet"/>
        <w:numPr>
          <w:ilvl w:val="0"/>
          <w:numId w:val="3"/>
        </w:numPr>
      </w:pPr>
      <w:r w:rsidRPr="00E865C0">
        <w:t>Ms Sue Higginson MLC</w:t>
      </w:r>
    </w:p>
    <w:p w14:paraId="4A1A5CA6" w14:textId="77777777" w:rsidR="005F52AE" w:rsidRPr="007523DF" w:rsidRDefault="005F52AE" w:rsidP="005F52AE">
      <w:pPr>
        <w:pStyle w:val="ChapterBullet"/>
        <w:numPr>
          <w:ilvl w:val="0"/>
          <w:numId w:val="3"/>
        </w:numPr>
      </w:pPr>
      <w:r w:rsidRPr="00E865C0">
        <w:t xml:space="preserve">Hon </w:t>
      </w:r>
      <w:r w:rsidRPr="007523DF">
        <w:t>Jacqui Munro MLC</w:t>
      </w:r>
    </w:p>
    <w:p w14:paraId="70613833" w14:textId="77777777" w:rsidR="005F52AE" w:rsidRPr="007523DF" w:rsidRDefault="005F52AE" w:rsidP="005F52AE">
      <w:pPr>
        <w:pStyle w:val="ChapterBullet"/>
        <w:numPr>
          <w:ilvl w:val="0"/>
          <w:numId w:val="3"/>
        </w:numPr>
      </w:pPr>
      <w:r w:rsidRPr="007523DF">
        <w:t>Hon Cameron Murphy AM, MLC</w:t>
      </w:r>
    </w:p>
    <w:p w14:paraId="5CB5EBF2" w14:textId="77777777" w:rsidR="005F52AE" w:rsidRPr="007523DF" w:rsidRDefault="005F52AE" w:rsidP="005F52AE">
      <w:pPr>
        <w:pStyle w:val="ChapterBullet"/>
        <w:numPr>
          <w:ilvl w:val="0"/>
          <w:numId w:val="3"/>
        </w:numPr>
      </w:pPr>
      <w:r w:rsidRPr="007523DF">
        <w:t>Mr Michael Regan MP</w:t>
      </w:r>
    </w:p>
    <w:p w14:paraId="4A2980A6" w14:textId="77777777" w:rsidR="005F52AE" w:rsidRPr="007523DF" w:rsidRDefault="005F52AE" w:rsidP="005F52AE">
      <w:pPr>
        <w:pStyle w:val="ChapterBullet"/>
        <w:numPr>
          <w:ilvl w:val="0"/>
          <w:numId w:val="3"/>
        </w:numPr>
      </w:pPr>
      <w:r w:rsidRPr="007523DF">
        <w:t>Hon Emily Suvaal MLC</w:t>
      </w:r>
    </w:p>
    <w:p w14:paraId="35394310" w14:textId="77777777" w:rsidR="005F52AE" w:rsidRPr="007523DF" w:rsidRDefault="005F52AE" w:rsidP="005F52AE">
      <w:pPr>
        <w:pStyle w:val="ChapterBullet"/>
        <w:numPr>
          <w:ilvl w:val="0"/>
          <w:numId w:val="3"/>
        </w:numPr>
      </w:pPr>
      <w:r w:rsidRPr="007523DF">
        <w:t>Ms Liesl Tesch AM, MP.</w:t>
      </w:r>
    </w:p>
    <w:p w14:paraId="70CE7FB9" w14:textId="26A4BA8B" w:rsidR="005F52AE" w:rsidRPr="00E865C0" w:rsidRDefault="005F52AE" w:rsidP="005F52AE">
      <w:pPr>
        <w:pStyle w:val="ChapterBody"/>
        <w:numPr>
          <w:ilvl w:val="1"/>
          <w:numId w:val="5"/>
        </w:numPr>
        <w:ind w:left="850" w:hanging="850"/>
      </w:pPr>
      <w:r w:rsidRPr="00E865C0">
        <w:t xml:space="preserve">The committee commenced its inquiry into the 2024 Annual Report of the Net Zero </w:t>
      </w:r>
      <w:r w:rsidRPr="00500AB5">
        <w:t>Commission on 13 December 2024.</w:t>
      </w:r>
      <w:r w:rsidR="00855F2E">
        <w:rPr>
          <w:rFonts w:ascii="ZWAdobeF" w:hAnsi="ZWAdobeF" w:cs="ZWAdobeF"/>
          <w:sz w:val="2"/>
          <w:szCs w:val="2"/>
        </w:rPr>
        <w:t>26F</w:t>
      </w:r>
      <w:r w:rsidRPr="00500AB5">
        <w:rPr>
          <w:rStyle w:val="FootnoteReference"/>
        </w:rPr>
        <w:footnoteReference w:id="29"/>
      </w:r>
    </w:p>
    <w:p w14:paraId="3D06BDEA" w14:textId="77777777" w:rsidR="005F52AE" w:rsidRPr="00630B79" w:rsidRDefault="005F52AE">
      <w:pPr>
        <w:pStyle w:val="ChapterHeadingOne"/>
        <w:rPr>
          <w:lang w:eastAsia="en-AU"/>
        </w:rPr>
      </w:pPr>
      <w:bookmarkStart w:id="55" w:name="_Toc194052245"/>
      <w:r w:rsidRPr="00630B79">
        <w:rPr>
          <w:lang w:eastAsia="en-AU"/>
        </w:rPr>
        <w:t>National and state-level emissions reductions frameworks</w:t>
      </w:r>
      <w:bookmarkEnd w:id="55"/>
    </w:p>
    <w:p w14:paraId="46B08E74" w14:textId="48BC2702" w:rsidR="005F52AE" w:rsidRPr="00630B79" w:rsidRDefault="005F52AE" w:rsidP="005F52AE">
      <w:pPr>
        <w:pStyle w:val="ChapterBody"/>
        <w:numPr>
          <w:ilvl w:val="1"/>
          <w:numId w:val="5"/>
        </w:numPr>
        <w:ind w:left="850" w:hanging="850"/>
        <w:rPr>
          <w:lang w:eastAsia="en-AU"/>
        </w:rPr>
      </w:pPr>
      <w:r w:rsidRPr="00630B79">
        <w:rPr>
          <w:lang w:eastAsia="en-AU"/>
        </w:rPr>
        <w:t xml:space="preserve">The </w:t>
      </w:r>
      <w:r>
        <w:rPr>
          <w:lang w:eastAsia="en-AU"/>
        </w:rPr>
        <w:t>Net Zero Commission</w:t>
      </w:r>
      <w:r w:rsidRPr="00630B79">
        <w:rPr>
          <w:lang w:eastAsia="en-AU"/>
        </w:rPr>
        <w:t xml:space="preserve"> operates within national and state-level emissions reduction</w:t>
      </w:r>
      <w:r w:rsidR="00713965">
        <w:rPr>
          <w:lang w:eastAsia="en-AU"/>
        </w:rPr>
        <w:t>s</w:t>
      </w:r>
      <w:r w:rsidRPr="00630B79">
        <w:rPr>
          <w:lang w:eastAsia="en-AU"/>
        </w:rPr>
        <w:t xml:space="preserve"> frameworks. In particular: </w:t>
      </w:r>
    </w:p>
    <w:p w14:paraId="7E55C6D0" w14:textId="18952451" w:rsidR="005F52AE" w:rsidRPr="00630B79" w:rsidRDefault="005F52AE" w:rsidP="005F52AE">
      <w:pPr>
        <w:pStyle w:val="ChapterBullet"/>
        <w:numPr>
          <w:ilvl w:val="0"/>
          <w:numId w:val="3"/>
        </w:numPr>
        <w:rPr>
          <w:lang w:eastAsia="en-AU"/>
        </w:rPr>
      </w:pPr>
      <w:r w:rsidRPr="00630B79">
        <w:rPr>
          <w:lang w:eastAsia="en-AU"/>
        </w:rPr>
        <w:t xml:space="preserve">Australia has made a commitment to the Paris Agreement, an international treaty which </w:t>
      </w:r>
      <w:r w:rsidRPr="00630B79">
        <w:t>seeks to hold the increase in the global average temperature to well below 2°C above pre-industrial levels and pursue efforts to limit the temperature increase to 1.5°C.</w:t>
      </w:r>
      <w:r w:rsidR="00855F2E">
        <w:rPr>
          <w:rFonts w:ascii="ZWAdobeF" w:hAnsi="ZWAdobeF" w:cs="ZWAdobeF"/>
          <w:sz w:val="2"/>
          <w:szCs w:val="2"/>
        </w:rPr>
        <w:t>27F</w:t>
      </w:r>
      <w:r w:rsidRPr="00630B79">
        <w:rPr>
          <w:rStyle w:val="FootnoteReference"/>
        </w:rPr>
        <w:footnoteReference w:id="30"/>
      </w:r>
    </w:p>
    <w:p w14:paraId="3BB90F20" w14:textId="2C9EE549" w:rsidR="005F52AE" w:rsidRPr="00CA64B6" w:rsidRDefault="005F52AE" w:rsidP="005F52AE">
      <w:pPr>
        <w:pStyle w:val="ChapterBullet"/>
        <w:numPr>
          <w:ilvl w:val="0"/>
          <w:numId w:val="3"/>
        </w:numPr>
        <w:rPr>
          <w:lang w:eastAsia="en-AU"/>
        </w:rPr>
      </w:pPr>
      <w:r w:rsidRPr="00315E1F">
        <w:rPr>
          <w:lang w:eastAsia="en-AU"/>
        </w:rPr>
        <w:t xml:space="preserve">The </w:t>
      </w:r>
      <w:r w:rsidRPr="00315E1F">
        <w:rPr>
          <w:i/>
          <w:iCs/>
        </w:rPr>
        <w:t>Climate Change Act 2022</w:t>
      </w:r>
      <w:r w:rsidRPr="00315E1F">
        <w:t xml:space="preserve"> (</w:t>
      </w:r>
      <w:proofErr w:type="spellStart"/>
      <w:r w:rsidRPr="00315E1F">
        <w:t>Cth</w:t>
      </w:r>
      <w:proofErr w:type="spellEnd"/>
      <w:r w:rsidRPr="00315E1F">
        <w:t xml:space="preserve">) which established national emissions reduction targets, specifically, a 43 per cent reduction </w:t>
      </w:r>
      <w:r w:rsidRPr="00CA64B6">
        <w:t>of emissions by 2030 and net zero emissions by 2050.</w:t>
      </w:r>
      <w:r w:rsidR="00855F2E">
        <w:rPr>
          <w:rFonts w:ascii="ZWAdobeF" w:hAnsi="ZWAdobeF" w:cs="ZWAdobeF"/>
          <w:sz w:val="2"/>
          <w:szCs w:val="2"/>
        </w:rPr>
        <w:t>28F</w:t>
      </w:r>
      <w:r w:rsidRPr="00CA64B6">
        <w:rPr>
          <w:rStyle w:val="FootnoteReference"/>
        </w:rPr>
        <w:footnoteReference w:id="31"/>
      </w:r>
    </w:p>
    <w:p w14:paraId="45861850" w14:textId="77777777" w:rsidR="005F52AE" w:rsidRPr="000855EB" w:rsidRDefault="005F52AE" w:rsidP="005F52AE">
      <w:pPr>
        <w:pStyle w:val="ChapterBullet"/>
        <w:numPr>
          <w:ilvl w:val="0"/>
          <w:numId w:val="3"/>
        </w:numPr>
        <w:rPr>
          <w:lang w:eastAsia="en-AU"/>
        </w:rPr>
      </w:pPr>
      <w:r w:rsidRPr="000855EB">
        <w:t xml:space="preserve">The </w:t>
      </w:r>
      <w:r w:rsidRPr="000855EB">
        <w:rPr>
          <w:i/>
          <w:iCs/>
        </w:rPr>
        <w:t>Climate Change (Net Zero Future) Act 2023</w:t>
      </w:r>
      <w:r w:rsidRPr="000855EB">
        <w:t>, as previously discussed, this legislation:</w:t>
      </w:r>
    </w:p>
    <w:p w14:paraId="445F9F29" w14:textId="77777777" w:rsidR="005F52AE" w:rsidRPr="000855EB" w:rsidRDefault="005F52AE" w:rsidP="005F52AE">
      <w:pPr>
        <w:pStyle w:val="ChapterBullet2"/>
        <w:numPr>
          <w:ilvl w:val="1"/>
          <w:numId w:val="3"/>
        </w:numPr>
        <w:spacing w:after="0"/>
        <w:rPr>
          <w:lang w:eastAsia="en-AU"/>
        </w:rPr>
      </w:pPr>
      <w:r w:rsidRPr="000855EB">
        <w:t>establishes guiding principles for action to address climate change</w:t>
      </w:r>
    </w:p>
    <w:p w14:paraId="2369C987" w14:textId="77777777" w:rsidR="005F52AE" w:rsidRPr="000855EB" w:rsidRDefault="005F52AE" w:rsidP="005F52AE">
      <w:pPr>
        <w:pStyle w:val="ChapterBullet2"/>
        <w:numPr>
          <w:ilvl w:val="1"/>
          <w:numId w:val="3"/>
        </w:numPr>
        <w:spacing w:after="0"/>
        <w:rPr>
          <w:lang w:eastAsia="en-AU"/>
        </w:rPr>
      </w:pPr>
      <w:r w:rsidRPr="000855EB">
        <w:t>sets targets for the reduction in net greenhouse gas emissions in New South Wales</w:t>
      </w:r>
    </w:p>
    <w:p w14:paraId="2C650D85" w14:textId="77777777" w:rsidR="005F52AE" w:rsidRPr="000855EB" w:rsidRDefault="005F52AE" w:rsidP="005F52AE">
      <w:pPr>
        <w:pStyle w:val="ChapterBullet2"/>
        <w:numPr>
          <w:ilvl w:val="1"/>
          <w:numId w:val="3"/>
        </w:numPr>
        <w:spacing w:after="0"/>
        <w:rPr>
          <w:lang w:eastAsia="en-AU"/>
        </w:rPr>
      </w:pPr>
      <w:r w:rsidRPr="000855EB">
        <w:t>sets an objective for New South Wales to be more resilient to a changing climate</w:t>
      </w:r>
    </w:p>
    <w:p w14:paraId="3BC47A1D" w14:textId="77777777" w:rsidR="005F52AE" w:rsidRPr="000855EB" w:rsidRDefault="005F52AE" w:rsidP="005F52AE">
      <w:pPr>
        <w:pStyle w:val="ChapterBullet2"/>
        <w:numPr>
          <w:ilvl w:val="1"/>
          <w:numId w:val="3"/>
        </w:numPr>
        <w:spacing w:after="0"/>
        <w:rPr>
          <w:lang w:eastAsia="en-AU"/>
        </w:rPr>
      </w:pPr>
      <w:r w:rsidRPr="000855EB">
        <w:t>establishes the Net Zero Commission.</w:t>
      </w:r>
    </w:p>
    <w:p w14:paraId="7B8D795B" w14:textId="7A0984D8" w:rsidR="005F52AE" w:rsidRPr="006841C0" w:rsidRDefault="005F52AE" w:rsidP="005F52AE">
      <w:pPr>
        <w:pStyle w:val="ChapterBullet"/>
        <w:numPr>
          <w:ilvl w:val="0"/>
          <w:numId w:val="3"/>
        </w:numPr>
        <w:rPr>
          <w:lang w:eastAsia="en-AU"/>
        </w:rPr>
      </w:pPr>
      <w:r w:rsidRPr="000855EB">
        <w:t xml:space="preserve">The </w:t>
      </w:r>
      <w:r w:rsidRPr="000855EB">
        <w:rPr>
          <w:i/>
          <w:iCs/>
        </w:rPr>
        <w:t xml:space="preserve">NSW Climate Policy Framework </w:t>
      </w:r>
      <w:r w:rsidRPr="000855EB">
        <w:t>(2016)</w:t>
      </w:r>
      <w:r w:rsidRPr="000855EB">
        <w:rPr>
          <w:i/>
          <w:iCs/>
        </w:rPr>
        <w:t xml:space="preserve"> </w:t>
      </w:r>
      <w:r w:rsidRPr="000855EB">
        <w:t>which set</w:t>
      </w:r>
      <w:r>
        <w:t>s</w:t>
      </w:r>
      <w:r w:rsidRPr="000855EB">
        <w:t xml:space="preserve"> 'aspirational' long-term</w:t>
      </w:r>
      <w:r w:rsidRPr="000855EB">
        <w:rPr>
          <w:i/>
          <w:iCs/>
        </w:rPr>
        <w:t xml:space="preserve"> </w:t>
      </w:r>
      <w:r w:rsidRPr="000855EB">
        <w:t xml:space="preserve">objectives of achieving net zero by </w:t>
      </w:r>
      <w:r w:rsidRPr="006841C0">
        <w:t>2050 and making the state more resilient to climate change</w:t>
      </w:r>
      <w:r w:rsidR="00D055DB">
        <w:t>.</w:t>
      </w:r>
      <w:r w:rsidR="00855F2E">
        <w:rPr>
          <w:rFonts w:ascii="ZWAdobeF" w:hAnsi="ZWAdobeF" w:cs="ZWAdobeF"/>
          <w:sz w:val="2"/>
          <w:szCs w:val="2"/>
        </w:rPr>
        <w:t>29F</w:t>
      </w:r>
      <w:r w:rsidRPr="006841C0">
        <w:rPr>
          <w:rStyle w:val="FootnoteReference"/>
        </w:rPr>
        <w:footnoteReference w:id="32"/>
      </w:r>
    </w:p>
    <w:p w14:paraId="7D759B8E" w14:textId="28BF8172" w:rsidR="005F52AE" w:rsidRPr="006841C0" w:rsidRDefault="005F52AE" w:rsidP="005F52AE">
      <w:pPr>
        <w:pStyle w:val="ChapterBullet"/>
        <w:numPr>
          <w:ilvl w:val="0"/>
          <w:numId w:val="3"/>
        </w:numPr>
        <w:rPr>
          <w:lang w:eastAsia="en-AU"/>
        </w:rPr>
      </w:pPr>
      <w:r w:rsidRPr="006841C0">
        <w:t xml:space="preserve">The </w:t>
      </w:r>
      <w:r w:rsidRPr="006841C0">
        <w:rPr>
          <w:i/>
          <w:iCs/>
        </w:rPr>
        <w:t>Net Zero Plan</w:t>
      </w:r>
      <w:r w:rsidRPr="006841C0">
        <w:t xml:space="preserve"> (2020 and updated in 2021) which set</w:t>
      </w:r>
      <w:r>
        <w:t>s</w:t>
      </w:r>
      <w:r w:rsidRPr="006841C0">
        <w:t xml:space="preserve"> out priorities and actions for New South Wales to reach zero emissions by 2050.</w:t>
      </w:r>
      <w:r w:rsidR="00855F2E">
        <w:rPr>
          <w:rFonts w:ascii="ZWAdobeF" w:hAnsi="ZWAdobeF" w:cs="ZWAdobeF"/>
          <w:sz w:val="2"/>
          <w:szCs w:val="2"/>
        </w:rPr>
        <w:t>30F</w:t>
      </w:r>
      <w:r w:rsidRPr="006841C0">
        <w:rPr>
          <w:rStyle w:val="FootnoteReference"/>
        </w:rPr>
        <w:footnoteReference w:id="33"/>
      </w:r>
      <w:r w:rsidRPr="006841C0">
        <w:t xml:space="preserve"> </w:t>
      </w:r>
    </w:p>
    <w:p w14:paraId="23DD8E66" w14:textId="77777777" w:rsidR="005F52AE" w:rsidRPr="006841C0" w:rsidRDefault="005F52AE" w:rsidP="005F52AE">
      <w:pPr>
        <w:pStyle w:val="ChapterBullet"/>
        <w:numPr>
          <w:ilvl w:val="0"/>
          <w:numId w:val="3"/>
        </w:numPr>
        <w:rPr>
          <w:i/>
          <w:iCs/>
          <w:lang w:eastAsia="en-AU"/>
        </w:rPr>
      </w:pPr>
      <w:r w:rsidRPr="006841C0">
        <w:rPr>
          <w:i/>
          <w:iCs/>
        </w:rPr>
        <w:lastRenderedPageBreak/>
        <w:t>NSW Electricity Strategy</w:t>
      </w:r>
    </w:p>
    <w:p w14:paraId="05ACA39E" w14:textId="77777777" w:rsidR="005F52AE" w:rsidRPr="006841C0" w:rsidRDefault="005F52AE" w:rsidP="005F52AE">
      <w:pPr>
        <w:pStyle w:val="ChapterBullet"/>
        <w:numPr>
          <w:ilvl w:val="0"/>
          <w:numId w:val="3"/>
        </w:numPr>
        <w:rPr>
          <w:i/>
          <w:iCs/>
          <w:lang w:eastAsia="en-AU"/>
        </w:rPr>
      </w:pPr>
      <w:r w:rsidRPr="006841C0">
        <w:rPr>
          <w:i/>
          <w:iCs/>
        </w:rPr>
        <w:t>NSW Transmission Infrastructure Strategy</w:t>
      </w:r>
    </w:p>
    <w:p w14:paraId="4B0D9F97" w14:textId="77777777" w:rsidR="005F52AE" w:rsidRPr="006841C0" w:rsidRDefault="005F52AE" w:rsidP="005F52AE">
      <w:pPr>
        <w:pStyle w:val="ChapterBullet"/>
        <w:numPr>
          <w:ilvl w:val="0"/>
          <w:numId w:val="3"/>
        </w:numPr>
        <w:rPr>
          <w:i/>
          <w:iCs/>
          <w:lang w:eastAsia="en-AU"/>
        </w:rPr>
      </w:pPr>
      <w:r w:rsidRPr="006841C0">
        <w:rPr>
          <w:i/>
          <w:iCs/>
        </w:rPr>
        <w:t>NSW Electric Vehicle Strategy</w:t>
      </w:r>
    </w:p>
    <w:p w14:paraId="64B050B9" w14:textId="77777777" w:rsidR="005F52AE" w:rsidRPr="002D0BED" w:rsidRDefault="005F52AE" w:rsidP="005F52AE">
      <w:pPr>
        <w:pStyle w:val="ChapterBullet"/>
        <w:numPr>
          <w:ilvl w:val="0"/>
          <w:numId w:val="3"/>
        </w:numPr>
        <w:rPr>
          <w:i/>
          <w:iCs/>
          <w:lang w:eastAsia="en-AU"/>
        </w:rPr>
      </w:pPr>
      <w:r w:rsidRPr="002D0BED">
        <w:rPr>
          <w:i/>
          <w:iCs/>
        </w:rPr>
        <w:t xml:space="preserve">NSW Hydrogen Strategy </w:t>
      </w:r>
    </w:p>
    <w:p w14:paraId="5B15C67C" w14:textId="77777777" w:rsidR="005F52AE" w:rsidRPr="002D0BED" w:rsidRDefault="005F52AE" w:rsidP="005F52AE">
      <w:pPr>
        <w:pStyle w:val="ChapterBullet"/>
        <w:numPr>
          <w:ilvl w:val="0"/>
          <w:numId w:val="3"/>
        </w:numPr>
        <w:rPr>
          <w:i/>
          <w:iCs/>
          <w:lang w:eastAsia="en-AU"/>
        </w:rPr>
      </w:pPr>
      <w:r w:rsidRPr="002D0BED">
        <w:rPr>
          <w:i/>
          <w:iCs/>
        </w:rPr>
        <w:t>Electricity Infrastructure Roadmap</w:t>
      </w:r>
    </w:p>
    <w:p w14:paraId="6D6C77DC" w14:textId="55D5CAE7" w:rsidR="005F52AE" w:rsidRPr="00CE51C9" w:rsidRDefault="005F52AE" w:rsidP="005F52AE">
      <w:pPr>
        <w:pStyle w:val="ChapterBullet"/>
        <w:numPr>
          <w:ilvl w:val="0"/>
          <w:numId w:val="3"/>
        </w:numPr>
        <w:rPr>
          <w:lang w:eastAsia="en-AU"/>
        </w:rPr>
      </w:pPr>
      <w:r w:rsidRPr="002D0BED">
        <w:rPr>
          <w:i/>
          <w:iCs/>
        </w:rPr>
        <w:t>Climate Change Policy</w:t>
      </w:r>
      <w:r w:rsidRPr="002D0BED">
        <w:t xml:space="preserve"> (NSW Environmental Protection </w:t>
      </w:r>
      <w:r w:rsidRPr="00CE51C9">
        <w:t>Authority)</w:t>
      </w:r>
      <w:r w:rsidR="00855F2E">
        <w:rPr>
          <w:rFonts w:ascii="ZWAdobeF" w:hAnsi="ZWAdobeF" w:cs="ZWAdobeF"/>
          <w:sz w:val="2"/>
          <w:szCs w:val="2"/>
        </w:rPr>
        <w:t>31F</w:t>
      </w:r>
      <w:r w:rsidRPr="00CE51C9">
        <w:rPr>
          <w:rStyle w:val="FootnoteReference"/>
          <w:lang w:eastAsia="en-AU"/>
        </w:rPr>
        <w:footnoteReference w:id="34"/>
      </w:r>
    </w:p>
    <w:p w14:paraId="753F1394" w14:textId="77777777" w:rsidR="005F52AE" w:rsidRPr="00D02674" w:rsidRDefault="005F52AE" w:rsidP="005F52AE">
      <w:pPr>
        <w:pStyle w:val="ChapterBullet"/>
        <w:numPr>
          <w:ilvl w:val="0"/>
          <w:numId w:val="3"/>
        </w:numPr>
        <w:rPr>
          <w:lang w:eastAsia="en-AU"/>
        </w:rPr>
      </w:pPr>
      <w:r w:rsidRPr="00CE51C9">
        <w:t xml:space="preserve">the Energy </w:t>
      </w:r>
      <w:r w:rsidRPr="00D02674">
        <w:t>and Utilities Administration Regulation 2021.</w:t>
      </w:r>
    </w:p>
    <w:p w14:paraId="0FDEFAE5" w14:textId="05D5ED9E" w:rsidR="005F52AE" w:rsidRPr="00D02674" w:rsidRDefault="005F52AE" w:rsidP="005F52AE">
      <w:pPr>
        <w:pStyle w:val="ChapterBody"/>
        <w:numPr>
          <w:ilvl w:val="1"/>
          <w:numId w:val="5"/>
        </w:numPr>
        <w:ind w:left="850" w:hanging="850"/>
        <w:rPr>
          <w:lang w:eastAsia="en-AU"/>
        </w:rPr>
      </w:pPr>
      <w:r w:rsidRPr="00D02674">
        <w:rPr>
          <w:lang w:eastAsia="en-AU"/>
        </w:rPr>
        <w:t>Additionally, the Australian Government, South Australia</w:t>
      </w:r>
      <w:r>
        <w:rPr>
          <w:lang w:eastAsia="en-AU"/>
        </w:rPr>
        <w:t>n Government</w:t>
      </w:r>
      <w:r w:rsidRPr="00D02674">
        <w:rPr>
          <w:lang w:eastAsia="en-AU"/>
        </w:rPr>
        <w:t xml:space="preserve"> and the Australian Capital Territory </w:t>
      </w:r>
      <w:r>
        <w:rPr>
          <w:lang w:eastAsia="en-AU"/>
        </w:rPr>
        <w:t xml:space="preserve">Governments </w:t>
      </w:r>
      <w:r w:rsidRPr="00D02674">
        <w:rPr>
          <w:lang w:eastAsia="en-AU"/>
        </w:rPr>
        <w:t>have</w:t>
      </w:r>
      <w:r w:rsidRPr="00D02674">
        <w:t xml:space="preserve"> similarly established independent agencies to advise their respective governments on reaching net zero emissions.</w:t>
      </w:r>
      <w:r w:rsidR="00855F2E">
        <w:rPr>
          <w:rFonts w:ascii="ZWAdobeF" w:hAnsi="ZWAdobeF" w:cs="ZWAdobeF"/>
          <w:sz w:val="2"/>
          <w:szCs w:val="2"/>
        </w:rPr>
        <w:t>32F</w:t>
      </w:r>
      <w:r w:rsidRPr="00D02674">
        <w:rPr>
          <w:rStyle w:val="FootnoteReference"/>
        </w:rPr>
        <w:footnoteReference w:id="35"/>
      </w:r>
    </w:p>
    <w:p w14:paraId="784BECD8" w14:textId="77777777" w:rsidR="005F52AE" w:rsidRPr="00952B04" w:rsidRDefault="005F52AE">
      <w:pPr>
        <w:pStyle w:val="ChapterHeadingOne"/>
      </w:pPr>
      <w:bookmarkStart w:id="56" w:name="_Toc194052246"/>
      <w:r>
        <w:t>T</w:t>
      </w:r>
      <w:r w:rsidRPr="00952B04">
        <w:t>he inquiry into the Climate Change (Net Zero Future) Bill 2023</w:t>
      </w:r>
      <w:bookmarkEnd w:id="56"/>
    </w:p>
    <w:p w14:paraId="13CA0984" w14:textId="7B0976E0" w:rsidR="005F52AE" w:rsidRPr="00952B04" w:rsidRDefault="005F52AE" w:rsidP="005F52AE">
      <w:pPr>
        <w:pStyle w:val="ChapterBody"/>
        <w:numPr>
          <w:ilvl w:val="1"/>
          <w:numId w:val="5"/>
        </w:numPr>
        <w:ind w:left="850" w:hanging="850"/>
      </w:pPr>
      <w:r w:rsidRPr="00952B04">
        <w:t xml:space="preserve">The Climate Change (Net Zero Future) Bill 2023 was referred to </w:t>
      </w:r>
      <w:r>
        <w:t xml:space="preserve">the Legislative Council </w:t>
      </w:r>
      <w:r w:rsidRPr="00952B04">
        <w:t xml:space="preserve">Portfolio Committee No. 7 - Planning and Environment on 12 October 2023 for inquiry and report. The recommendation of the inquiry was that matters raised during the course of the inquiry should be considered by the House in debate on the </w:t>
      </w:r>
      <w:r>
        <w:t>b</w:t>
      </w:r>
      <w:r w:rsidRPr="00952B04">
        <w:t>ill.</w:t>
      </w:r>
      <w:r w:rsidR="00855F2E">
        <w:rPr>
          <w:rFonts w:ascii="ZWAdobeF" w:hAnsi="ZWAdobeF" w:cs="ZWAdobeF"/>
          <w:sz w:val="2"/>
          <w:szCs w:val="2"/>
        </w:rPr>
        <w:t>33F</w:t>
      </w:r>
      <w:r w:rsidRPr="00952B04">
        <w:rPr>
          <w:rStyle w:val="FootnoteReference"/>
        </w:rPr>
        <w:footnoteReference w:id="36"/>
      </w:r>
    </w:p>
    <w:p w14:paraId="48DBC7EC" w14:textId="35225D39" w:rsidR="005F52AE" w:rsidRPr="00952B04" w:rsidRDefault="005F52AE" w:rsidP="005F52AE">
      <w:pPr>
        <w:pStyle w:val="ChapterBody"/>
        <w:numPr>
          <w:ilvl w:val="1"/>
          <w:numId w:val="5"/>
        </w:numPr>
        <w:ind w:left="850" w:hanging="850"/>
      </w:pPr>
      <w:r w:rsidRPr="00952B04">
        <w:t>The inquiry heard from a wide range of stakeholders, who were broadly supportive of the bill.</w:t>
      </w:r>
      <w:r w:rsidR="00855F2E">
        <w:rPr>
          <w:rFonts w:ascii="ZWAdobeF" w:hAnsi="ZWAdobeF" w:cs="ZWAdobeF"/>
          <w:sz w:val="2"/>
          <w:szCs w:val="2"/>
        </w:rPr>
        <w:t>34F</w:t>
      </w:r>
      <w:r w:rsidRPr="00952B04">
        <w:rPr>
          <w:rStyle w:val="FootnoteReference"/>
        </w:rPr>
        <w:footnoteReference w:id="37"/>
      </w:r>
      <w:r w:rsidRPr="00952B04">
        <w:t xml:space="preserve"> </w:t>
      </w:r>
    </w:p>
    <w:p w14:paraId="329180B4" w14:textId="77777777" w:rsidR="005F52AE" w:rsidRPr="00952B04" w:rsidRDefault="005F52AE" w:rsidP="005F52AE">
      <w:pPr>
        <w:pStyle w:val="ChapterBody"/>
        <w:numPr>
          <w:ilvl w:val="1"/>
          <w:numId w:val="5"/>
        </w:numPr>
        <w:ind w:left="850" w:hanging="850"/>
      </w:pPr>
      <w:r w:rsidRPr="00952B04">
        <w:t xml:space="preserve">Debate during the inquiry heard a range of suggestions for strengthening the </w:t>
      </w:r>
      <w:r>
        <w:t>b</w:t>
      </w:r>
      <w:r w:rsidRPr="00952B04">
        <w:t>ill such as:</w:t>
      </w:r>
    </w:p>
    <w:p w14:paraId="1303364F" w14:textId="025F1247" w:rsidR="005F52AE" w:rsidRPr="00952B04" w:rsidRDefault="005F52AE" w:rsidP="006A1CA8">
      <w:pPr>
        <w:pStyle w:val="ChapterBullet"/>
      </w:pPr>
      <w:r w:rsidRPr="00952B04">
        <w:t>calls for more ambitious targets, or ‘front loaded’ reductions in emissions</w:t>
      </w:r>
      <w:r w:rsidR="00855F2E">
        <w:rPr>
          <w:rFonts w:ascii="ZWAdobeF" w:hAnsi="ZWAdobeF" w:cs="ZWAdobeF"/>
          <w:sz w:val="2"/>
          <w:szCs w:val="2"/>
        </w:rPr>
        <w:t>35F</w:t>
      </w:r>
      <w:r w:rsidRPr="00952B04">
        <w:rPr>
          <w:rStyle w:val="FootnoteReference"/>
        </w:rPr>
        <w:footnoteReference w:id="38"/>
      </w:r>
    </w:p>
    <w:p w14:paraId="7D474206" w14:textId="144CD49C" w:rsidR="005F52AE" w:rsidRPr="00952B04" w:rsidRDefault="005F52AE" w:rsidP="006A1CA8">
      <w:pPr>
        <w:pStyle w:val="ChapterBullet"/>
      </w:pPr>
      <w:r w:rsidRPr="00952B04">
        <w:t>reducing reliance on offsets to reduce emissions, or disallowing their use altogether</w:t>
      </w:r>
      <w:r w:rsidR="00855F2E">
        <w:rPr>
          <w:rFonts w:ascii="ZWAdobeF" w:hAnsi="ZWAdobeF" w:cs="ZWAdobeF"/>
          <w:sz w:val="2"/>
          <w:szCs w:val="2"/>
        </w:rPr>
        <w:t>36F</w:t>
      </w:r>
      <w:r w:rsidRPr="00952B04">
        <w:rPr>
          <w:rStyle w:val="FootnoteReference"/>
        </w:rPr>
        <w:footnoteReference w:id="39"/>
      </w:r>
      <w:r w:rsidRPr="00952B04">
        <w:t xml:space="preserve"> </w:t>
      </w:r>
    </w:p>
    <w:p w14:paraId="31BCCB67" w14:textId="62851B98" w:rsidR="005F52AE" w:rsidRPr="00952B04" w:rsidRDefault="005F52AE" w:rsidP="006A1CA8">
      <w:pPr>
        <w:pStyle w:val="ChapterBullet"/>
      </w:pPr>
      <w:r w:rsidRPr="00952B04">
        <w:t>the inclusion of indirect emissions</w:t>
      </w:r>
      <w:r>
        <w:t>,</w:t>
      </w:r>
      <w:r w:rsidR="00855F2E">
        <w:rPr>
          <w:rFonts w:ascii="ZWAdobeF" w:hAnsi="ZWAdobeF" w:cs="ZWAdobeF"/>
          <w:sz w:val="2"/>
          <w:szCs w:val="2"/>
        </w:rPr>
        <w:t>37F</w:t>
      </w:r>
      <w:r w:rsidRPr="00952B04">
        <w:rPr>
          <w:rStyle w:val="FootnoteReference"/>
        </w:rPr>
        <w:footnoteReference w:id="40"/>
      </w:r>
      <w:r w:rsidRPr="00952B04">
        <w:t xml:space="preserve"> and </w:t>
      </w:r>
    </w:p>
    <w:p w14:paraId="32D40590" w14:textId="27808C88" w:rsidR="005F52AE" w:rsidRPr="00E865C0" w:rsidRDefault="005F52AE" w:rsidP="006A1CA8">
      <w:pPr>
        <w:pStyle w:val="ChapterBullet"/>
      </w:pPr>
      <w:r w:rsidRPr="00952B04">
        <w:lastRenderedPageBreak/>
        <w:t>assigning responsibilities on a minister or other consequences in the event targets are not met</w:t>
      </w:r>
      <w:r>
        <w:t>.</w:t>
      </w:r>
      <w:r w:rsidR="00855F2E">
        <w:rPr>
          <w:rFonts w:ascii="ZWAdobeF" w:hAnsi="ZWAdobeF" w:cs="ZWAdobeF"/>
          <w:sz w:val="2"/>
          <w:szCs w:val="2"/>
        </w:rPr>
        <w:t>38F</w:t>
      </w:r>
      <w:r w:rsidRPr="00952B04">
        <w:rPr>
          <w:rStyle w:val="FootnoteReference"/>
        </w:rPr>
        <w:footnoteReference w:id="41"/>
      </w:r>
    </w:p>
    <w:p w14:paraId="0AE6224F" w14:textId="77777777" w:rsidR="005F52AE" w:rsidRDefault="005F52AE" w:rsidP="002A4E93">
      <w:pPr>
        <w:pStyle w:val="BodyCopy"/>
        <w:sectPr w:rsidR="005F52AE" w:rsidSect="009A6673">
          <w:footerReference w:type="even" r:id="rId19"/>
          <w:footerReference w:type="default" r:id="rId20"/>
          <w:headerReference w:type="first" r:id="rId21"/>
          <w:footerReference w:type="first" r:id="rId22"/>
          <w:type w:val="oddPage"/>
          <w:pgSz w:w="11906" w:h="16838" w:code="9"/>
          <w:pgMar w:top="2268" w:right="1134" w:bottom="1134" w:left="1134" w:header="720" w:footer="573" w:gutter="0"/>
          <w:pgNumType w:start="1"/>
          <w:cols w:space="720"/>
          <w:docGrid w:linePitch="360"/>
        </w:sectPr>
      </w:pPr>
    </w:p>
    <w:p w14:paraId="39BEDEA2" w14:textId="053E0D4A" w:rsidR="00C81DD8" w:rsidRPr="00BB29CD" w:rsidRDefault="008E587E" w:rsidP="00BB29CD">
      <w:pPr>
        <w:pStyle w:val="ChapterTitle"/>
      </w:pPr>
      <w:bookmarkStart w:id="57" w:name="_Toc194052247"/>
      <w:r w:rsidRPr="00BB29CD">
        <w:lastRenderedPageBreak/>
        <w:t>Chapter 2</w:t>
      </w:r>
      <w:r w:rsidRPr="00BB29CD">
        <w:tab/>
      </w:r>
      <w:r w:rsidR="00C81DD8" w:rsidRPr="00BB29CD">
        <w:t>The 2024 Annual Report</w:t>
      </w:r>
      <w:bookmarkEnd w:id="57"/>
    </w:p>
    <w:p w14:paraId="6A6FAD96" w14:textId="77777777" w:rsidR="005F52AE" w:rsidRDefault="005F52AE" w:rsidP="005F52AE">
      <w:pPr>
        <w:pStyle w:val="ChapterIntro"/>
        <w:jc w:val="both"/>
      </w:pPr>
      <w:r w:rsidRPr="00D64FB5">
        <w:t xml:space="preserve">This chapter surveys key issues raised by stakeholders about the 2024 annual report of the Net Zero Commission. </w:t>
      </w:r>
      <w:r>
        <w:t>It outlines key findings of the</w:t>
      </w:r>
      <w:r w:rsidRPr="00D64FB5">
        <w:t xml:space="preserve"> 2024 annual report</w:t>
      </w:r>
      <w:r>
        <w:t>, then discusses the views provided by stakeholders to the inquiry in response to the commission's report</w:t>
      </w:r>
      <w:r w:rsidRPr="00D64FB5">
        <w:t xml:space="preserve">. </w:t>
      </w:r>
      <w:r>
        <w:t>The chapter</w:t>
      </w:r>
      <w:r w:rsidRPr="00D64FB5">
        <w:t xml:space="preserve"> begins with</w:t>
      </w:r>
      <w:r>
        <w:t xml:space="preserve"> a discussion of </w:t>
      </w:r>
      <w:r w:rsidRPr="00D64FB5">
        <w:t>emissions reduction</w:t>
      </w:r>
      <w:r>
        <w:t xml:space="preserve"> in New South Wales</w:t>
      </w:r>
      <w:r w:rsidRPr="00D64FB5">
        <w:t xml:space="preserve">, examining the </w:t>
      </w:r>
      <w:r>
        <w:t>state</w:t>
      </w:r>
      <w:r w:rsidRPr="00D64FB5">
        <w:t xml:space="preserve"> economy </w:t>
      </w:r>
      <w:r>
        <w:t xml:space="preserve">sector by sector </w:t>
      </w:r>
      <w:r w:rsidRPr="00D64FB5">
        <w:t xml:space="preserve">in order of </w:t>
      </w:r>
      <w:r>
        <w:t xml:space="preserve">the net </w:t>
      </w:r>
      <w:r w:rsidRPr="00D64FB5">
        <w:t>contribution to emissions. That is followed by a</w:t>
      </w:r>
      <w:r>
        <w:t xml:space="preserve"> </w:t>
      </w:r>
      <w:r w:rsidRPr="00D64FB5">
        <w:t xml:space="preserve">section which discusses </w:t>
      </w:r>
      <w:r>
        <w:t xml:space="preserve">strategies for increasing the state’s </w:t>
      </w:r>
      <w:r w:rsidRPr="00D64FB5">
        <w:t xml:space="preserve">resilience to climate change. The chapter finishes with </w:t>
      </w:r>
      <w:r w:rsidRPr="0048779F">
        <w:t>recommendations</w:t>
      </w:r>
      <w:r>
        <w:t xml:space="preserve"> </w:t>
      </w:r>
      <w:r w:rsidRPr="0048779F">
        <w:t>and findings</w:t>
      </w:r>
      <w:r w:rsidRPr="00D64FB5">
        <w:t xml:space="preserve"> of the </w:t>
      </w:r>
      <w:r>
        <w:t>c</w:t>
      </w:r>
      <w:r w:rsidRPr="00D64FB5">
        <w:t>ommittee.</w:t>
      </w:r>
    </w:p>
    <w:p w14:paraId="5963514C" w14:textId="77777777" w:rsidR="005F52AE" w:rsidRPr="00D43618" w:rsidRDefault="005F52AE" w:rsidP="005F52AE">
      <w:pPr>
        <w:pStyle w:val="ChapterHeadingOne"/>
      </w:pPr>
      <w:bookmarkStart w:id="58" w:name="_Toc194052248"/>
      <w:r w:rsidRPr="00D43618">
        <w:t xml:space="preserve">The </w:t>
      </w:r>
      <w:r>
        <w:t>Net Zero Commission</w:t>
      </w:r>
      <w:r w:rsidRPr="00D43618">
        <w:t>’s initial assessment on emissions reduction in N</w:t>
      </w:r>
      <w:r>
        <w:t xml:space="preserve">ew </w:t>
      </w:r>
      <w:r w:rsidRPr="00D43618">
        <w:t>S</w:t>
      </w:r>
      <w:r>
        <w:t xml:space="preserve">outh </w:t>
      </w:r>
      <w:r w:rsidRPr="00D43618">
        <w:t>W</w:t>
      </w:r>
      <w:r>
        <w:t>ales</w:t>
      </w:r>
      <w:bookmarkEnd w:id="58"/>
    </w:p>
    <w:p w14:paraId="61568AC5" w14:textId="77777777" w:rsidR="000D7661" w:rsidRPr="000D7661" w:rsidRDefault="000D7661" w:rsidP="000D7661">
      <w:pPr>
        <w:pStyle w:val="ListParagraph"/>
        <w:numPr>
          <w:ilvl w:val="0"/>
          <w:numId w:val="5"/>
        </w:numPr>
        <w:tabs>
          <w:tab w:val="clear" w:pos="2268"/>
        </w:tabs>
        <w:contextualSpacing w:val="0"/>
        <w:outlineLvl w:val="0"/>
        <w:rPr>
          <w:b/>
          <w:vanish/>
          <w:sz w:val="40"/>
          <w:lang w:val="en-US"/>
        </w:rPr>
      </w:pPr>
    </w:p>
    <w:p w14:paraId="5232A979" w14:textId="2D5D78F8" w:rsidR="005F52AE" w:rsidRDefault="005F52AE" w:rsidP="006E0A31">
      <w:pPr>
        <w:pStyle w:val="ChapterBody"/>
      </w:pPr>
      <w:r>
        <w:t>I</w:t>
      </w:r>
      <w:r w:rsidRPr="00F260CB">
        <w:t xml:space="preserve">n its </w:t>
      </w:r>
      <w:r>
        <w:t xml:space="preserve">2024 </w:t>
      </w:r>
      <w:r w:rsidRPr="00F260CB">
        <w:t xml:space="preserve">report, the </w:t>
      </w:r>
      <w:r>
        <w:t xml:space="preserve">Net Zero Commission </w:t>
      </w:r>
      <w:r w:rsidRPr="00F260CB">
        <w:t xml:space="preserve">found that </w:t>
      </w:r>
      <w:r>
        <w:t xml:space="preserve">New South Wales has </w:t>
      </w:r>
      <w:r w:rsidRPr="00F260CB">
        <w:t xml:space="preserve">made ‘considerable progress’ in reducing its emissions since 2005. However, it warned that achieving emissions targets for 2030 and 2035 are </w:t>
      </w:r>
      <w:r>
        <w:t xml:space="preserve">‘far from </w:t>
      </w:r>
      <w:r w:rsidRPr="00F260CB">
        <w:t>assured</w:t>
      </w:r>
      <w:r>
        <w:t>’</w:t>
      </w:r>
      <w:r w:rsidRPr="00F260CB">
        <w:t xml:space="preserve"> and will require </w:t>
      </w:r>
      <w:r>
        <w:t>‘considerable upscaling and acceleration’ in effort</w:t>
      </w:r>
      <w:r w:rsidRPr="00F260CB">
        <w:t>.</w:t>
      </w:r>
      <w:r w:rsidR="00855F2E" w:rsidRPr="00885F16">
        <w:rPr>
          <w:rFonts w:ascii="ZWAdobeF" w:hAnsi="ZWAdobeF" w:cs="ZWAdobeF"/>
          <w:sz w:val="2"/>
          <w:szCs w:val="2"/>
        </w:rPr>
        <w:t>39F</w:t>
      </w:r>
      <w:r>
        <w:rPr>
          <w:rStyle w:val="FootnoteReference"/>
        </w:rPr>
        <w:footnoteReference w:id="42"/>
      </w:r>
      <w:r w:rsidRPr="00F260CB">
        <w:t xml:space="preserve"> </w:t>
      </w:r>
      <w:r>
        <w:t>The commission put that</w:t>
      </w:r>
      <w:r w:rsidRPr="00F260CB">
        <w:t xml:space="preserve"> all sectors of the economy will require significant progress to meet </w:t>
      </w:r>
      <w:r>
        <w:t xml:space="preserve">the net zero </w:t>
      </w:r>
      <w:r w:rsidRPr="00F260CB">
        <w:t>targets, along with commitment across governme</w:t>
      </w:r>
      <w:r>
        <w:t>nt ‘in their policies and decision-making’.</w:t>
      </w:r>
      <w:r w:rsidR="00855F2E" w:rsidRPr="00885F16">
        <w:rPr>
          <w:rFonts w:ascii="ZWAdobeF" w:hAnsi="ZWAdobeF" w:cs="ZWAdobeF"/>
          <w:sz w:val="2"/>
          <w:szCs w:val="2"/>
        </w:rPr>
        <w:t>40F</w:t>
      </w:r>
      <w:r>
        <w:rPr>
          <w:rStyle w:val="FootnoteReference"/>
        </w:rPr>
        <w:footnoteReference w:id="43"/>
      </w:r>
      <w:r>
        <w:t xml:space="preserve"> </w:t>
      </w:r>
    </w:p>
    <w:p w14:paraId="7C9C7121" w14:textId="55658429" w:rsidR="005F52AE" w:rsidRDefault="005F52AE" w:rsidP="00DE7D6B">
      <w:pPr>
        <w:pStyle w:val="ChapterBody"/>
      </w:pPr>
      <w:r>
        <w:t>As per the figure below, the commission notes that the most recent projections suggest the state will ‘barely’ reach net zero targets for 2030 and 2035, ‘only under the most optimistic assumptions modelled’.</w:t>
      </w:r>
      <w:r w:rsidR="00855F2E">
        <w:rPr>
          <w:rFonts w:ascii="ZWAdobeF" w:hAnsi="ZWAdobeF" w:cs="ZWAdobeF"/>
          <w:sz w:val="2"/>
          <w:szCs w:val="2"/>
        </w:rPr>
        <w:t>41F</w:t>
      </w:r>
      <w:r>
        <w:rPr>
          <w:rStyle w:val="FootnoteReference"/>
        </w:rPr>
        <w:footnoteReference w:id="44"/>
      </w:r>
      <w:r>
        <w:t xml:space="preserve"> The commission notes that in light of these projections, the Hon Penny Sharpe MLC, Minister for Climate Change committed the government to a redoubling of efforts to reduce emissions.</w:t>
      </w:r>
      <w:r w:rsidR="00855F2E">
        <w:rPr>
          <w:rFonts w:ascii="ZWAdobeF" w:hAnsi="ZWAdobeF" w:cs="ZWAdobeF"/>
          <w:sz w:val="2"/>
          <w:szCs w:val="2"/>
        </w:rPr>
        <w:t>42F</w:t>
      </w:r>
      <w:r>
        <w:rPr>
          <w:rStyle w:val="FootnoteReference"/>
        </w:rPr>
        <w:footnoteReference w:id="45"/>
      </w:r>
    </w:p>
    <w:p w14:paraId="18ACE797" w14:textId="77777777" w:rsidR="005F52AE" w:rsidRDefault="005F52AE" w:rsidP="005F52AE">
      <w:pPr>
        <w:pStyle w:val="ChapterFigureHeading"/>
        <w:keepNext/>
        <w:tabs>
          <w:tab w:val="clear" w:pos="1418"/>
          <w:tab w:val="num" w:pos="1985"/>
        </w:tabs>
        <w:ind w:left="1985" w:hanging="1134"/>
      </w:pPr>
      <w:r>
        <w:lastRenderedPageBreak/>
        <w:t>New South Wales emissions trajectory comparing business as usual (BAU) with projected reductions in emissions with abatement programs.</w:t>
      </w:r>
    </w:p>
    <w:p w14:paraId="3C3D5536" w14:textId="77777777" w:rsidR="005F52AE" w:rsidRDefault="005F52AE">
      <w:pPr>
        <w:pStyle w:val="ChapterBody"/>
        <w:numPr>
          <w:ilvl w:val="0"/>
          <w:numId w:val="0"/>
        </w:numPr>
        <w:ind w:left="850"/>
      </w:pPr>
      <w:r w:rsidRPr="004E313C">
        <w:rPr>
          <w:noProof/>
        </w:rPr>
        <w:drawing>
          <wp:inline distT="0" distB="0" distL="0" distR="0" wp14:anchorId="38EE455F" wp14:editId="25EB0545">
            <wp:extent cx="5524500" cy="3054838"/>
            <wp:effectExtent l="0" t="0" r="0" b="0"/>
            <wp:docPr id="1054330646" name="Picture 1" descr="P35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30646" name="Picture 1" descr="P353#yIS1"/>
                    <pic:cNvPicPr/>
                  </pic:nvPicPr>
                  <pic:blipFill>
                    <a:blip r:embed="rId23"/>
                    <a:stretch>
                      <a:fillRect/>
                    </a:stretch>
                  </pic:blipFill>
                  <pic:spPr>
                    <a:xfrm>
                      <a:off x="0" y="0"/>
                      <a:ext cx="5538281" cy="3062458"/>
                    </a:xfrm>
                    <a:prstGeom prst="rect">
                      <a:avLst/>
                    </a:prstGeom>
                  </pic:spPr>
                </pic:pic>
              </a:graphicData>
            </a:graphic>
          </wp:inline>
        </w:drawing>
      </w:r>
    </w:p>
    <w:p w14:paraId="17FACBCA" w14:textId="77777777" w:rsidR="005F52AE" w:rsidRDefault="005F52AE">
      <w:pPr>
        <w:pStyle w:val="FigureSource"/>
        <w:spacing w:before="120"/>
      </w:pPr>
      <w:r>
        <w:t xml:space="preserve">Source: </w:t>
      </w:r>
      <w:r w:rsidRPr="00822CDE">
        <w:t xml:space="preserve">Net Zero Commission (NSW), </w:t>
      </w:r>
      <w:r w:rsidRPr="00822CDE">
        <w:rPr>
          <w:iCs/>
        </w:rPr>
        <w:t>2024 Annual Report</w:t>
      </w:r>
      <w:r>
        <w:rPr>
          <w:iCs/>
        </w:rPr>
        <w:t xml:space="preserve"> (</w:t>
      </w:r>
      <w:r w:rsidRPr="00822CDE">
        <w:t>2024</w:t>
      </w:r>
      <w:r>
        <w:t>)</w:t>
      </w:r>
      <w:r w:rsidRPr="00822CDE">
        <w:t>, p 10.</w:t>
      </w:r>
    </w:p>
    <w:p w14:paraId="0B68CFB0" w14:textId="4BE415D2" w:rsidR="005F52AE" w:rsidRPr="00114E12" w:rsidRDefault="005F52AE" w:rsidP="00B36A30">
      <w:pPr>
        <w:pStyle w:val="ChapterBody"/>
      </w:pPr>
      <w:proofErr w:type="gramStart"/>
      <w:r w:rsidRPr="00153F69">
        <w:rPr>
          <w:rStyle w:val="cf01"/>
          <w:rFonts w:ascii="Garamond" w:hAnsi="Garamond" w:cs="Times New Roman"/>
          <w:sz w:val="24"/>
          <w:szCs w:val="20"/>
        </w:rPr>
        <w:t>Generally</w:t>
      </w:r>
      <w:proofErr w:type="gramEnd"/>
      <w:r w:rsidRPr="00153F69">
        <w:rPr>
          <w:rStyle w:val="cf01"/>
          <w:rFonts w:ascii="Garamond" w:hAnsi="Garamond" w:cs="Times New Roman"/>
          <w:sz w:val="24"/>
          <w:szCs w:val="20"/>
        </w:rPr>
        <w:t xml:space="preserve"> stakeholders were approving of the 2024 report and the assessments of the commission. The </w:t>
      </w:r>
      <w:r w:rsidRPr="00153F69">
        <w:t>Nature Conservation Council of Australia</w:t>
      </w:r>
      <w:r w:rsidRPr="00153F69">
        <w:rPr>
          <w:rStyle w:val="cf01"/>
          <w:rFonts w:ascii="Garamond" w:hAnsi="Garamond" w:cs="Times New Roman"/>
          <w:sz w:val="24"/>
          <w:szCs w:val="20"/>
        </w:rPr>
        <w:t xml:space="preserve"> agreed with the commission’s assessments and ‘support the call for faster and more significant progress to be made’ on emissions reduction in order to meet the net zero targets</w:t>
      </w:r>
      <w:r w:rsidRPr="00114E12">
        <w:rPr>
          <w:rStyle w:val="cf01"/>
        </w:rPr>
        <w:t>.</w:t>
      </w:r>
      <w:r w:rsidR="00855F2E">
        <w:rPr>
          <w:rStyle w:val="cf01"/>
          <w:rFonts w:ascii="ZWAdobeF" w:hAnsi="ZWAdobeF" w:cs="ZWAdobeF"/>
          <w:sz w:val="2"/>
          <w:szCs w:val="2"/>
        </w:rPr>
        <w:t>43F</w:t>
      </w:r>
      <w:r w:rsidRPr="00114E12">
        <w:rPr>
          <w:rStyle w:val="FootnoteReference"/>
        </w:rPr>
        <w:footnoteReference w:id="46"/>
      </w:r>
      <w:r w:rsidRPr="00114E12">
        <w:rPr>
          <w:rStyle w:val="cf01"/>
        </w:rPr>
        <w:t xml:space="preserve"> </w:t>
      </w:r>
      <w:r w:rsidRPr="00153F69">
        <w:rPr>
          <w:rStyle w:val="cf01"/>
          <w:rFonts w:ascii="Garamond" w:hAnsi="Garamond" w:cs="Times New Roman"/>
          <w:sz w:val="24"/>
          <w:szCs w:val="20"/>
        </w:rPr>
        <w:t>The National Environmental Law Association</w:t>
      </w:r>
      <w:r w:rsidRPr="00114E12">
        <w:rPr>
          <w:rStyle w:val="cf01"/>
        </w:rPr>
        <w:t xml:space="preserve"> </w:t>
      </w:r>
      <w:r w:rsidRPr="00114E12">
        <w:t>commended the commission on its work to date,</w:t>
      </w:r>
      <w:r w:rsidR="00855F2E">
        <w:rPr>
          <w:rFonts w:ascii="ZWAdobeF" w:hAnsi="ZWAdobeF" w:cs="ZWAdobeF"/>
          <w:sz w:val="2"/>
          <w:szCs w:val="2"/>
        </w:rPr>
        <w:t>44F</w:t>
      </w:r>
      <w:r w:rsidRPr="00114E12">
        <w:rPr>
          <w:rStyle w:val="FootnoteReference"/>
        </w:rPr>
        <w:footnoteReference w:id="47"/>
      </w:r>
      <w:r w:rsidRPr="00114E12">
        <w:t xml:space="preserve"> while the Citizens</w:t>
      </w:r>
      <w:r w:rsidR="00420B36">
        <w:t>’</w:t>
      </w:r>
      <w:r w:rsidRPr="00114E12">
        <w:t xml:space="preserve"> Climate Lobby lauded the commission’s independent and frank assessment of New South Wales's current progress towards meeting emissions reduction targets.</w:t>
      </w:r>
      <w:r w:rsidR="00855F2E">
        <w:rPr>
          <w:rFonts w:ascii="ZWAdobeF" w:hAnsi="ZWAdobeF" w:cs="ZWAdobeF"/>
          <w:sz w:val="2"/>
          <w:szCs w:val="2"/>
        </w:rPr>
        <w:t>45F</w:t>
      </w:r>
      <w:r w:rsidRPr="00114E12">
        <w:rPr>
          <w:rStyle w:val="FootnoteReference"/>
        </w:rPr>
        <w:footnoteReference w:id="48"/>
      </w:r>
    </w:p>
    <w:p w14:paraId="4EF45B78" w14:textId="037E6146" w:rsidR="005F52AE" w:rsidRPr="00CD62A4" w:rsidRDefault="005F52AE" w:rsidP="00CD62A4">
      <w:pPr>
        <w:pStyle w:val="ChapterBody"/>
      </w:pPr>
      <w:r w:rsidRPr="00CD62A4">
        <w:t>The Net Zero Commission noted that the 2024 report was ‘constrained in its scope and depth’ due to the limited timeframe ‘to both become established and to consider a broad range of matters’.</w:t>
      </w:r>
      <w:r w:rsidR="00855F2E">
        <w:rPr>
          <w:rFonts w:ascii="ZWAdobeF" w:hAnsi="ZWAdobeF" w:cs="ZWAdobeF"/>
          <w:sz w:val="2"/>
          <w:szCs w:val="2"/>
        </w:rPr>
        <w:t>46F</w:t>
      </w:r>
      <w:r w:rsidRPr="002A0A23">
        <w:rPr>
          <w:vertAlign w:val="superscript"/>
        </w:rPr>
        <w:footnoteReference w:id="49"/>
      </w:r>
      <w:r w:rsidRPr="00CD62A4">
        <w:t xml:space="preserve"> Indeed, there was only a matter of months the between appointment of </w:t>
      </w:r>
      <w:proofErr w:type="spellStart"/>
      <w:r w:rsidRPr="00CD62A4">
        <w:t>comissioners</w:t>
      </w:r>
      <w:proofErr w:type="spellEnd"/>
      <w:r w:rsidRPr="00CD62A4">
        <w:t xml:space="preserve"> (July 2024)</w:t>
      </w:r>
      <w:r w:rsidR="00855F2E">
        <w:rPr>
          <w:rFonts w:ascii="ZWAdobeF" w:hAnsi="ZWAdobeF" w:cs="ZWAdobeF"/>
          <w:sz w:val="2"/>
          <w:szCs w:val="2"/>
        </w:rPr>
        <w:t>47F</w:t>
      </w:r>
      <w:r w:rsidRPr="002A0A23">
        <w:rPr>
          <w:vertAlign w:val="superscript"/>
        </w:rPr>
        <w:footnoteReference w:id="50"/>
      </w:r>
      <w:r w:rsidRPr="00CD62A4">
        <w:t xml:space="preserve"> and the statutory deadline for the provision of the report to the Minister (1</w:t>
      </w:r>
      <w:r w:rsidR="00CE7B61">
        <w:t> </w:t>
      </w:r>
      <w:r w:rsidRPr="00CD62A4">
        <w:t>November 2024).</w:t>
      </w:r>
      <w:r w:rsidR="00855F2E" w:rsidRPr="002A0A23">
        <w:rPr>
          <w:rFonts w:ascii="ZWAdobeF" w:hAnsi="ZWAdobeF" w:cs="ZWAdobeF"/>
          <w:sz w:val="2"/>
          <w:szCs w:val="2"/>
          <w:vertAlign w:val="superscript"/>
        </w:rPr>
        <w:t>48F</w:t>
      </w:r>
      <w:r w:rsidRPr="002A0A23">
        <w:rPr>
          <w:vertAlign w:val="superscript"/>
        </w:rPr>
        <w:footnoteReference w:id="51"/>
      </w:r>
    </w:p>
    <w:p w14:paraId="0F65DDD8" w14:textId="67C1B95A" w:rsidR="005F52AE" w:rsidRDefault="005F52AE" w:rsidP="00153F69">
      <w:pPr>
        <w:pStyle w:val="ChapterBody"/>
      </w:pPr>
      <w:r w:rsidRPr="00153F69">
        <w:rPr>
          <w:rStyle w:val="cf01"/>
          <w:rFonts w:ascii="Garamond" w:hAnsi="Garamond" w:cs="Times New Roman"/>
          <w:sz w:val="24"/>
          <w:szCs w:val="20"/>
        </w:rPr>
        <w:t xml:space="preserve">In particular, the commission noted the 2024 </w:t>
      </w:r>
      <w:r w:rsidR="00401BB3">
        <w:rPr>
          <w:rStyle w:val="cf01"/>
          <w:rFonts w:ascii="Garamond" w:hAnsi="Garamond" w:cs="Times New Roman"/>
          <w:sz w:val="24"/>
          <w:szCs w:val="20"/>
        </w:rPr>
        <w:t xml:space="preserve">report </w:t>
      </w:r>
      <w:r w:rsidRPr="00153F69">
        <w:rPr>
          <w:rStyle w:val="cf01"/>
          <w:rFonts w:ascii="Garamond" w:hAnsi="Garamond" w:cs="Times New Roman"/>
          <w:sz w:val="24"/>
          <w:szCs w:val="20"/>
        </w:rPr>
        <w:t>was not able to be ‘informed by the depth of stakeholder engagement the commission expects to undertake as a fundamental part of its functions in future years’.</w:t>
      </w:r>
      <w:r w:rsidR="00855F2E">
        <w:rPr>
          <w:rStyle w:val="cf01"/>
          <w:rFonts w:ascii="ZWAdobeF" w:hAnsi="ZWAdobeF" w:cs="ZWAdobeF"/>
          <w:sz w:val="2"/>
          <w:szCs w:val="2"/>
        </w:rPr>
        <w:t>49F</w:t>
      </w:r>
      <w:r w:rsidRPr="0008721B">
        <w:rPr>
          <w:rStyle w:val="cf01"/>
          <w:rFonts w:ascii="Garamond" w:hAnsi="Garamond" w:cs="Times New Roman"/>
          <w:sz w:val="24"/>
          <w:szCs w:val="20"/>
          <w:vertAlign w:val="superscript"/>
        </w:rPr>
        <w:footnoteReference w:id="52"/>
      </w:r>
      <w:r>
        <w:rPr>
          <w:rStyle w:val="cf01"/>
        </w:rPr>
        <w:t xml:space="preserve"> S</w:t>
      </w:r>
      <w:r>
        <w:t xml:space="preserve">takeholders acknowledged the short time frame in which the 2024 </w:t>
      </w:r>
      <w:r>
        <w:lastRenderedPageBreak/>
        <w:t>report was produced did not allow for external consultation and confirmed that they look forward to engaging with the commission in the consultation for subsequent annual reports.</w:t>
      </w:r>
      <w:r w:rsidR="00855F2E">
        <w:rPr>
          <w:rFonts w:ascii="ZWAdobeF" w:hAnsi="ZWAdobeF" w:cs="ZWAdobeF"/>
          <w:sz w:val="2"/>
          <w:szCs w:val="2"/>
        </w:rPr>
        <w:t>50F</w:t>
      </w:r>
      <w:r>
        <w:rPr>
          <w:rStyle w:val="FootnoteReference"/>
        </w:rPr>
        <w:footnoteReference w:id="53"/>
      </w:r>
    </w:p>
    <w:p w14:paraId="51FC5360" w14:textId="2003E724" w:rsidR="005F52AE" w:rsidRDefault="005F52AE" w:rsidP="005F52AE">
      <w:pPr>
        <w:pStyle w:val="ChapterBody"/>
        <w:numPr>
          <w:ilvl w:val="1"/>
          <w:numId w:val="5"/>
        </w:numPr>
        <w:ind w:left="850" w:hanging="850"/>
      </w:pPr>
      <w:r>
        <w:t>Regarding consultation, stakeholders noted that while there is broad community support for a transition to renewables, certain stakeholder groups may be experiencing consultation or engagement fatigue, particularly in the Renewable Energy Zones.</w:t>
      </w:r>
      <w:r w:rsidR="00855F2E">
        <w:rPr>
          <w:rFonts w:ascii="ZWAdobeF" w:hAnsi="ZWAdobeF" w:cs="ZWAdobeF"/>
          <w:sz w:val="2"/>
          <w:szCs w:val="2"/>
        </w:rPr>
        <w:t>51F</w:t>
      </w:r>
      <w:r>
        <w:rPr>
          <w:rStyle w:val="FootnoteReference"/>
        </w:rPr>
        <w:footnoteReference w:id="54"/>
      </w:r>
      <w:r>
        <w:t xml:space="preserve"> As such, the Justice and Equity Centre</w:t>
      </w:r>
      <w:r w:rsidDel="005611F7">
        <w:t xml:space="preserve"> </w:t>
      </w:r>
      <w:r>
        <w:t>recommend that the commission should be aware of, and seek to leverage existing community engagement programs planned for 2025, such as that being organised by the Energy and Water Ombudsman, as well as take advantage of submissions already made to similar recent rounds of consultation for the:</w:t>
      </w:r>
    </w:p>
    <w:p w14:paraId="581774A6" w14:textId="77777777" w:rsidR="005F52AE" w:rsidRDefault="005F52AE" w:rsidP="005F52AE">
      <w:pPr>
        <w:pStyle w:val="ChapterBullet"/>
        <w:numPr>
          <w:ilvl w:val="0"/>
          <w:numId w:val="3"/>
        </w:numPr>
      </w:pPr>
      <w:r w:rsidRPr="00EE470B">
        <w:t xml:space="preserve">NSW </w:t>
      </w:r>
      <w:r>
        <w:t>Legislative Council Portfolio Committee No. 4 – Regional NSW's i</w:t>
      </w:r>
      <w:r w:rsidRPr="00EE470B">
        <w:t>nquiry into the impact of Renewable Energy Zones (REZs)</w:t>
      </w:r>
    </w:p>
    <w:p w14:paraId="16E2D7ED" w14:textId="77777777" w:rsidR="005F52AE" w:rsidRDefault="005F52AE" w:rsidP="005F52AE">
      <w:pPr>
        <w:pStyle w:val="ChapterBullet"/>
        <w:numPr>
          <w:ilvl w:val="0"/>
          <w:numId w:val="3"/>
        </w:numPr>
      </w:pPr>
      <w:r w:rsidRPr="00EE470B">
        <w:t>Australian Energy Infrastructure Commissioner’s (AEIC) review of community engagement practices</w:t>
      </w:r>
    </w:p>
    <w:p w14:paraId="17826DDA" w14:textId="50C70115" w:rsidR="005F52AE" w:rsidRDefault="005F52AE" w:rsidP="005F52AE">
      <w:pPr>
        <w:pStyle w:val="ChapterBullet"/>
        <w:numPr>
          <w:ilvl w:val="0"/>
          <w:numId w:val="3"/>
        </w:numPr>
      </w:pPr>
      <w:r>
        <w:t xml:space="preserve">Australian Government’s </w:t>
      </w:r>
      <w:r w:rsidRPr="003164C4">
        <w:t>First Nations Clean Energy Strategy</w:t>
      </w:r>
      <w:r>
        <w:t>.</w:t>
      </w:r>
      <w:r w:rsidR="00855F2E">
        <w:rPr>
          <w:rFonts w:ascii="ZWAdobeF" w:hAnsi="ZWAdobeF" w:cs="ZWAdobeF"/>
          <w:sz w:val="2"/>
          <w:szCs w:val="2"/>
        </w:rPr>
        <w:t>52F</w:t>
      </w:r>
      <w:r>
        <w:rPr>
          <w:rStyle w:val="FootnoteReference"/>
        </w:rPr>
        <w:footnoteReference w:id="55"/>
      </w:r>
      <w:r>
        <w:t xml:space="preserve"> </w:t>
      </w:r>
    </w:p>
    <w:p w14:paraId="01BCF401" w14:textId="2B686034" w:rsidR="005F52AE" w:rsidRDefault="005F52AE" w:rsidP="005F52AE">
      <w:pPr>
        <w:pStyle w:val="ChapterBody"/>
        <w:numPr>
          <w:ilvl w:val="1"/>
          <w:numId w:val="5"/>
        </w:numPr>
        <w:ind w:left="850" w:hanging="850"/>
      </w:pPr>
      <w:r>
        <w:t xml:space="preserve">Another suggestion from some stakeholders was that the Net Zero Commission consider developing and reporting on a ‘carbon budget’ in the course of annual reporting, with an analysis provided across each industry sector, outlining the budget that would remain if New South Wales </w:t>
      </w:r>
      <w:proofErr w:type="gramStart"/>
      <w:r>
        <w:t>is</w:t>
      </w:r>
      <w:proofErr w:type="gramEnd"/>
      <w:r>
        <w:t xml:space="preserve"> to meet 2030, 2035 and 2050 emissions reduction targets.</w:t>
      </w:r>
      <w:r w:rsidR="00855F2E">
        <w:rPr>
          <w:rFonts w:ascii="ZWAdobeF" w:hAnsi="ZWAdobeF" w:cs="ZWAdobeF"/>
          <w:sz w:val="2"/>
          <w:szCs w:val="2"/>
        </w:rPr>
        <w:t>53F</w:t>
      </w:r>
      <w:r>
        <w:rPr>
          <w:rStyle w:val="FootnoteReference"/>
        </w:rPr>
        <w:footnoteReference w:id="56"/>
      </w:r>
      <w:r>
        <w:t xml:space="preserve"> Stakeholders suggested that a budget would assist with transparency, tracking progress and guiding policies across sectors. The </w:t>
      </w:r>
      <w:r w:rsidRPr="007D02AD">
        <w:t>National Environmental Law Association</w:t>
      </w:r>
      <w:r>
        <w:t xml:space="preserve"> suggested that a binding emissions budget could be established by regulation under the </w:t>
      </w:r>
      <w:r w:rsidRPr="00283D5D">
        <w:rPr>
          <w:i/>
          <w:iCs/>
        </w:rPr>
        <w:t>Climate Change (Net</w:t>
      </w:r>
      <w:r w:rsidRPr="00A63402">
        <w:rPr>
          <w:i/>
          <w:iCs/>
        </w:rPr>
        <w:t xml:space="preserve"> Zero Future</w:t>
      </w:r>
      <w:r>
        <w:rPr>
          <w:i/>
          <w:iCs/>
        </w:rPr>
        <w:t>)</w:t>
      </w:r>
      <w:r w:rsidRPr="00A63402">
        <w:rPr>
          <w:i/>
          <w:iCs/>
        </w:rPr>
        <w:t xml:space="preserve"> Act</w:t>
      </w:r>
      <w:r>
        <w:rPr>
          <w:i/>
          <w:iCs/>
        </w:rPr>
        <w:t xml:space="preserve"> </w:t>
      </w:r>
      <w:proofErr w:type="gramStart"/>
      <w:r>
        <w:rPr>
          <w:i/>
          <w:iCs/>
        </w:rPr>
        <w:t>2023</w:t>
      </w:r>
      <w:r>
        <w:t>, and</w:t>
      </w:r>
      <w:proofErr w:type="gramEnd"/>
      <w:r>
        <w:t xml:space="preserve"> noted that the </w:t>
      </w:r>
      <w:r w:rsidRPr="009225C0">
        <w:rPr>
          <w:i/>
          <w:iCs/>
        </w:rPr>
        <w:t>Climate Change Act 2022</w:t>
      </w:r>
      <w:r>
        <w:t xml:space="preserve"> (</w:t>
      </w:r>
      <w:proofErr w:type="spellStart"/>
      <w:r>
        <w:t>Cth</w:t>
      </w:r>
      <w:proofErr w:type="spellEnd"/>
      <w:r>
        <w:t>) has established an emissions budget at the Commonwealth level for the period from 2021-2030.</w:t>
      </w:r>
      <w:r w:rsidR="00855F2E">
        <w:rPr>
          <w:rFonts w:ascii="ZWAdobeF" w:hAnsi="ZWAdobeF" w:cs="ZWAdobeF"/>
          <w:sz w:val="2"/>
          <w:szCs w:val="2"/>
        </w:rPr>
        <w:t>54F</w:t>
      </w:r>
      <w:r>
        <w:rPr>
          <w:rStyle w:val="FootnoteReference"/>
        </w:rPr>
        <w:footnoteReference w:id="57"/>
      </w:r>
    </w:p>
    <w:p w14:paraId="48E9797E" w14:textId="77777777" w:rsidR="005F52AE" w:rsidRDefault="005F52AE" w:rsidP="005F52AE">
      <w:pPr>
        <w:pStyle w:val="ChapterHeadingOne"/>
      </w:pPr>
      <w:bookmarkStart w:id="59" w:name="_Toc194052249"/>
      <w:r>
        <w:t>Pathways for reducing emissions in New South Wales</w:t>
      </w:r>
      <w:bookmarkEnd w:id="59"/>
    </w:p>
    <w:p w14:paraId="3FE6BA48" w14:textId="77777777" w:rsidR="005F52AE" w:rsidRDefault="005F52AE" w:rsidP="005F52AE">
      <w:pPr>
        <w:pStyle w:val="ChapterBody"/>
        <w:numPr>
          <w:ilvl w:val="1"/>
          <w:numId w:val="5"/>
        </w:numPr>
        <w:ind w:left="850" w:hanging="850"/>
      </w:pPr>
      <w:r>
        <w:t>The bulk of the 2024 annual report examines the current trends in the reduction in the intensity of greenhouse gas emissions in New South Wales, along with the policy settings which may be moderating those reductions in emissions.</w:t>
      </w:r>
      <w:r w:rsidDel="00826F59">
        <w:rPr>
          <w:rStyle w:val="FootnoteReference"/>
        </w:rPr>
        <w:t xml:space="preserve"> </w:t>
      </w:r>
    </w:p>
    <w:p w14:paraId="11852F08" w14:textId="0E0AE6B0" w:rsidR="005F52AE" w:rsidRDefault="005F52AE" w:rsidP="005F52AE">
      <w:pPr>
        <w:pStyle w:val="ChapterBody"/>
        <w:numPr>
          <w:ilvl w:val="1"/>
          <w:numId w:val="5"/>
        </w:numPr>
        <w:ind w:left="850" w:hanging="850"/>
      </w:pPr>
      <w:r>
        <w:t>The report relies on emissions data as reported in the Australian Government’s National Greenhouse Accounts 2022: State and Territory Greenhouse Gas Inventory. The commission explains that for the 2024 report they have followed the approach taken by the Australian Government in the inventory and focused on scope 1 emissions (direct emissions) except where scope 2 (indirect emissions) warrant particular mention.</w:t>
      </w:r>
      <w:r w:rsidR="00855F2E">
        <w:rPr>
          <w:rFonts w:ascii="ZWAdobeF" w:hAnsi="ZWAdobeF" w:cs="ZWAdobeF"/>
          <w:sz w:val="2"/>
          <w:szCs w:val="2"/>
        </w:rPr>
        <w:t>55F</w:t>
      </w:r>
      <w:r>
        <w:rPr>
          <w:rStyle w:val="FootnoteReference"/>
        </w:rPr>
        <w:footnoteReference w:id="58"/>
      </w:r>
    </w:p>
    <w:p w14:paraId="3D69F556" w14:textId="62D47DAE" w:rsidR="005F52AE" w:rsidRDefault="005F52AE" w:rsidP="005F52AE">
      <w:pPr>
        <w:pStyle w:val="ChapterBody"/>
        <w:numPr>
          <w:ilvl w:val="1"/>
          <w:numId w:val="5"/>
        </w:numPr>
        <w:ind w:left="850" w:hanging="850"/>
      </w:pPr>
      <w:r>
        <w:lastRenderedPageBreak/>
        <w:t xml:space="preserve">The commission, in the annual report, discussed and analysed the state’s emissions by dividing emissions to the following seven categories </w:t>
      </w:r>
      <w:r w:rsidR="000A5EE6">
        <w:t>(</w:t>
      </w:r>
      <w:r>
        <w:t>which comprise respectively</w:t>
      </w:r>
      <w:r w:rsidR="00010DDA">
        <w:t xml:space="preserve"> 100 per cent of the </w:t>
      </w:r>
      <w:r w:rsidR="009B0C3D">
        <w:t>New South Wales</w:t>
      </w:r>
      <w:r w:rsidR="00010DDA">
        <w:t>’s estimated emissions</w:t>
      </w:r>
      <w:r w:rsidR="000A5EE6">
        <w:t>)</w:t>
      </w:r>
      <w:r>
        <w:t>:</w:t>
      </w:r>
    </w:p>
    <w:p w14:paraId="24F5BD42" w14:textId="77777777" w:rsidR="005F52AE" w:rsidRDefault="005F52AE" w:rsidP="005F52AE">
      <w:pPr>
        <w:pStyle w:val="ChapterBullet"/>
        <w:numPr>
          <w:ilvl w:val="0"/>
          <w:numId w:val="3"/>
        </w:numPr>
      </w:pPr>
      <w:r>
        <w:t>Electricity and energy (40 per cent)</w:t>
      </w:r>
    </w:p>
    <w:p w14:paraId="026A5EBA" w14:textId="77777777" w:rsidR="005F52AE" w:rsidRDefault="005F52AE" w:rsidP="005F52AE">
      <w:pPr>
        <w:pStyle w:val="ChapterBullet"/>
        <w:numPr>
          <w:ilvl w:val="0"/>
          <w:numId w:val="3"/>
        </w:numPr>
      </w:pPr>
      <w:r>
        <w:t>Transport (22 per cent)</w:t>
      </w:r>
    </w:p>
    <w:p w14:paraId="45C0BF91" w14:textId="77777777" w:rsidR="005F52AE" w:rsidRDefault="005F52AE" w:rsidP="005F52AE">
      <w:pPr>
        <w:pStyle w:val="ChapterBullet"/>
        <w:numPr>
          <w:ilvl w:val="0"/>
          <w:numId w:val="3"/>
        </w:numPr>
      </w:pPr>
      <w:r>
        <w:t>Agriculture (20 per cent)</w:t>
      </w:r>
    </w:p>
    <w:p w14:paraId="0E81E7C9" w14:textId="77777777" w:rsidR="005F52AE" w:rsidRDefault="005F52AE" w:rsidP="005F52AE">
      <w:pPr>
        <w:pStyle w:val="ChapterBullet"/>
        <w:numPr>
          <w:ilvl w:val="0"/>
          <w:numId w:val="3"/>
        </w:numPr>
      </w:pPr>
      <w:r>
        <w:t>Industry and waste (18 per cent)</w:t>
      </w:r>
    </w:p>
    <w:p w14:paraId="28A5C6CA" w14:textId="77777777" w:rsidR="005F52AE" w:rsidRDefault="005F52AE" w:rsidP="005F52AE">
      <w:pPr>
        <w:pStyle w:val="ChapterBullet"/>
        <w:numPr>
          <w:ilvl w:val="0"/>
          <w:numId w:val="3"/>
        </w:numPr>
      </w:pPr>
      <w:r>
        <w:t>Resources (12 per cent)</w:t>
      </w:r>
    </w:p>
    <w:p w14:paraId="7AC7F2C5" w14:textId="77777777" w:rsidR="005F52AE" w:rsidRDefault="005F52AE" w:rsidP="005F52AE">
      <w:pPr>
        <w:pStyle w:val="ChapterBullet"/>
        <w:numPr>
          <w:ilvl w:val="0"/>
          <w:numId w:val="3"/>
        </w:numPr>
      </w:pPr>
      <w:r>
        <w:t>Built environment (7</w:t>
      </w:r>
      <w:r w:rsidRPr="00DA506A">
        <w:t xml:space="preserve"> </w:t>
      </w:r>
      <w:r>
        <w:t>per cent)</w:t>
      </w:r>
    </w:p>
    <w:p w14:paraId="63B96307" w14:textId="53409473" w:rsidR="005F52AE" w:rsidRDefault="005F52AE" w:rsidP="005F52AE">
      <w:pPr>
        <w:pStyle w:val="ChapterBullet"/>
        <w:numPr>
          <w:ilvl w:val="0"/>
          <w:numId w:val="3"/>
        </w:numPr>
      </w:pPr>
      <w:r>
        <w:t>Land (-19</w:t>
      </w:r>
      <w:r w:rsidRPr="00DA506A">
        <w:t xml:space="preserve"> </w:t>
      </w:r>
      <w:r>
        <w:t>per cent).</w:t>
      </w:r>
      <w:r w:rsidR="00855F2E">
        <w:rPr>
          <w:rFonts w:ascii="ZWAdobeF" w:hAnsi="ZWAdobeF" w:cs="ZWAdobeF"/>
          <w:sz w:val="2"/>
          <w:szCs w:val="2"/>
        </w:rPr>
        <w:t>56F</w:t>
      </w:r>
      <w:r>
        <w:rPr>
          <w:rStyle w:val="FootnoteReference"/>
        </w:rPr>
        <w:footnoteReference w:id="59"/>
      </w:r>
    </w:p>
    <w:p w14:paraId="5A19004C" w14:textId="77777777" w:rsidR="005F52AE" w:rsidRDefault="005F52AE" w:rsidP="005F52AE">
      <w:pPr>
        <w:pStyle w:val="ChapterBody"/>
        <w:numPr>
          <w:ilvl w:val="1"/>
          <w:numId w:val="5"/>
        </w:numPr>
        <w:ind w:left="850" w:hanging="850"/>
      </w:pPr>
      <w:r>
        <w:t>In the sections to follow, this report will outline the main findings of the commission and responses or comments from inquiry stakeholders using the same categorisation.</w:t>
      </w:r>
    </w:p>
    <w:p w14:paraId="0C2D4E03" w14:textId="77777777" w:rsidR="005F52AE" w:rsidRDefault="005F52AE" w:rsidP="00AF2C91">
      <w:pPr>
        <w:pStyle w:val="ChapterHeadingTwo"/>
      </w:pPr>
      <w:bookmarkStart w:id="60" w:name="_Toc194052250"/>
      <w:r>
        <w:t xml:space="preserve">Electricity and energy </w:t>
      </w:r>
      <w:r w:rsidRPr="003B57E8">
        <w:t>sector</w:t>
      </w:r>
      <w:bookmarkEnd w:id="60"/>
    </w:p>
    <w:p w14:paraId="411679DE" w14:textId="6F8BE78D" w:rsidR="005F52AE" w:rsidRDefault="005F52AE" w:rsidP="005F52AE">
      <w:pPr>
        <w:pStyle w:val="ChapterBody"/>
        <w:numPr>
          <w:ilvl w:val="1"/>
          <w:numId w:val="5"/>
        </w:numPr>
        <w:ind w:left="850" w:hanging="850"/>
      </w:pPr>
      <w:r>
        <w:t>The Net Zero Commission observed that the electricity and energy sector is the largest source of emissions in New South Wales, comprising 40 per cent of the state’s emissions, or the equivalent to 44 million tonnes of carbon dioxide (Mt CO</w:t>
      </w:r>
      <w:r w:rsidRPr="00B82CB9">
        <w:rPr>
          <w:vertAlign w:val="subscript"/>
        </w:rPr>
        <w:t>2</w:t>
      </w:r>
      <w:r>
        <w:t>-e) in 2022.</w:t>
      </w:r>
      <w:r w:rsidR="00855F2E">
        <w:rPr>
          <w:rFonts w:ascii="ZWAdobeF" w:hAnsi="ZWAdobeF" w:cs="ZWAdobeF"/>
          <w:sz w:val="2"/>
          <w:szCs w:val="2"/>
        </w:rPr>
        <w:t>57F</w:t>
      </w:r>
      <w:r>
        <w:rPr>
          <w:rStyle w:val="FootnoteReference"/>
        </w:rPr>
        <w:footnoteReference w:id="60"/>
      </w:r>
    </w:p>
    <w:p w14:paraId="164E1D02" w14:textId="77777777" w:rsidR="005F52AE" w:rsidRDefault="005F52AE" w:rsidP="005F52AE">
      <w:pPr>
        <w:pStyle w:val="ChapterBody"/>
        <w:numPr>
          <w:ilvl w:val="1"/>
          <w:numId w:val="5"/>
        </w:numPr>
        <w:ind w:left="850" w:hanging="850"/>
      </w:pPr>
      <w:r>
        <w:t>The commission’s report suggested for the electricity and energy sector to meet the net zero goals, New South Wales will need to:</w:t>
      </w:r>
    </w:p>
    <w:p w14:paraId="4DBB83A8" w14:textId="653EFC04" w:rsidR="005F52AE" w:rsidRDefault="005F52AE" w:rsidP="005F52AE">
      <w:pPr>
        <w:pStyle w:val="ChapterBullet"/>
        <w:numPr>
          <w:ilvl w:val="0"/>
          <w:numId w:val="3"/>
        </w:numPr>
      </w:pPr>
      <w:r>
        <w:t>rapidly deliver underwriting agreements for the remainder of the NSW Government’s 2020 Electricity Infrastructure Roadmap, of which only 17 per cent has been commissioned to date</w:t>
      </w:r>
      <w:r w:rsidR="00855F2E">
        <w:rPr>
          <w:rFonts w:ascii="ZWAdobeF" w:hAnsi="ZWAdobeF" w:cs="ZWAdobeF"/>
          <w:sz w:val="2"/>
          <w:szCs w:val="2"/>
        </w:rPr>
        <w:t>58F</w:t>
      </w:r>
      <w:r>
        <w:rPr>
          <w:rStyle w:val="FootnoteReference"/>
        </w:rPr>
        <w:footnoteReference w:id="61"/>
      </w:r>
    </w:p>
    <w:p w14:paraId="2DB6AB22" w14:textId="3C56FF98" w:rsidR="005F52AE" w:rsidRDefault="005F52AE" w:rsidP="005F52AE">
      <w:pPr>
        <w:pStyle w:val="ChapterBullet"/>
        <w:numPr>
          <w:ilvl w:val="0"/>
          <w:numId w:val="3"/>
        </w:numPr>
      </w:pPr>
      <w:r>
        <w:t>accommodate ‘progressive reduction and closure’ of coal power generation, with new renewables generation capacity, firming with utility scale batteries or gas peaking generators or pumped hydroelectric generation</w:t>
      </w:r>
      <w:r w:rsidR="00855F2E">
        <w:rPr>
          <w:rFonts w:ascii="ZWAdobeF" w:hAnsi="ZWAdobeF" w:cs="ZWAdobeF"/>
          <w:sz w:val="2"/>
          <w:szCs w:val="2"/>
        </w:rPr>
        <w:t>59F</w:t>
      </w:r>
      <w:r>
        <w:rPr>
          <w:rStyle w:val="FootnoteReference"/>
        </w:rPr>
        <w:footnoteReference w:id="62"/>
      </w:r>
    </w:p>
    <w:p w14:paraId="53D00ECB" w14:textId="77777777" w:rsidR="005F52AE" w:rsidRDefault="005F52AE" w:rsidP="005F52AE">
      <w:pPr>
        <w:pStyle w:val="ChapterBullet"/>
        <w:numPr>
          <w:ilvl w:val="0"/>
          <w:numId w:val="3"/>
        </w:numPr>
      </w:pPr>
      <w:r>
        <w:t>secure broad community support for utility-scale renewable generation and transmission projects, which have been subject to increasingly negative community responses over recent years, and</w:t>
      </w:r>
    </w:p>
    <w:p w14:paraId="6FD45A9C" w14:textId="7042D118" w:rsidR="005F52AE" w:rsidRDefault="005F52AE" w:rsidP="005F52AE">
      <w:pPr>
        <w:pStyle w:val="ChapterBullet"/>
        <w:numPr>
          <w:ilvl w:val="0"/>
          <w:numId w:val="3"/>
        </w:numPr>
      </w:pPr>
      <w:r>
        <w:t>make use of ‘consumer energy resources’ to reduce demand during evening peaks. This term refers to small scale technologies, connected to the grid, which can delay or defray peak load, and include for example heat pumps, electric batteries and vehicles.</w:t>
      </w:r>
      <w:r w:rsidR="00855F2E">
        <w:rPr>
          <w:rFonts w:ascii="ZWAdobeF" w:hAnsi="ZWAdobeF" w:cs="ZWAdobeF"/>
          <w:sz w:val="2"/>
          <w:szCs w:val="2"/>
        </w:rPr>
        <w:t>60F</w:t>
      </w:r>
      <w:r>
        <w:rPr>
          <w:rStyle w:val="FootnoteReference"/>
        </w:rPr>
        <w:footnoteReference w:id="63"/>
      </w:r>
    </w:p>
    <w:p w14:paraId="40A4FCD8" w14:textId="775510F3" w:rsidR="005F52AE" w:rsidRDefault="005F52AE" w:rsidP="005F52AE">
      <w:pPr>
        <w:pStyle w:val="ChapterBody"/>
        <w:numPr>
          <w:ilvl w:val="1"/>
          <w:numId w:val="5"/>
        </w:numPr>
        <w:ind w:left="850" w:hanging="850"/>
      </w:pPr>
      <w:r>
        <w:lastRenderedPageBreak/>
        <w:t xml:space="preserve">In response to questions from the committee about what New South Wales is doing well to reduce electricity sector emissions, the </w:t>
      </w:r>
      <w:proofErr w:type="spellStart"/>
      <w:r>
        <w:t>Climateworks</w:t>
      </w:r>
      <w:proofErr w:type="spellEnd"/>
      <w:r>
        <w:t xml:space="preserve"> Centre noted the value in having a ‘storage target’ and the ‘steps taken already to meet that storage target’ in NSW.</w:t>
      </w:r>
      <w:r w:rsidR="00855F2E">
        <w:rPr>
          <w:rFonts w:ascii="ZWAdobeF" w:hAnsi="ZWAdobeF" w:cs="ZWAdobeF"/>
          <w:sz w:val="2"/>
          <w:szCs w:val="2"/>
        </w:rPr>
        <w:t>61F</w:t>
      </w:r>
      <w:r>
        <w:rPr>
          <w:rStyle w:val="FootnoteReference"/>
        </w:rPr>
        <w:footnoteReference w:id="64"/>
      </w:r>
      <w:r>
        <w:t xml:space="preserve"> Ms Kylie Turner, System Lead, Sustainable Economies, </w:t>
      </w:r>
      <w:proofErr w:type="spellStart"/>
      <w:r>
        <w:t>Climateworks</w:t>
      </w:r>
      <w:proofErr w:type="spellEnd"/>
      <w:r>
        <w:t xml:space="preserve"> Centre, explained that any such programs that reduce peak demand for electricity will allow folding in of more renewable energy and a decrease in the use of fossil fuels.</w:t>
      </w:r>
      <w:r w:rsidR="00855F2E">
        <w:rPr>
          <w:rFonts w:ascii="ZWAdobeF" w:hAnsi="ZWAdobeF" w:cs="ZWAdobeF"/>
          <w:sz w:val="2"/>
          <w:szCs w:val="2"/>
        </w:rPr>
        <w:t>62F</w:t>
      </w:r>
      <w:r>
        <w:rPr>
          <w:rStyle w:val="FootnoteReference"/>
        </w:rPr>
        <w:footnoteReference w:id="65"/>
      </w:r>
    </w:p>
    <w:p w14:paraId="1484D326" w14:textId="403189A5" w:rsidR="005F52AE" w:rsidRDefault="005F52AE" w:rsidP="005F52AE">
      <w:pPr>
        <w:pStyle w:val="ChapterBody"/>
        <w:numPr>
          <w:ilvl w:val="1"/>
          <w:numId w:val="5"/>
        </w:numPr>
        <w:ind w:left="850" w:hanging="850"/>
      </w:pPr>
      <w:r>
        <w:t>In their submission to the inquiry, Ausgrid agreed with the view expressed by the Net Zero Commission that the New South Wales Government plays a key role in progressing initiatives to make greater use of consumer energy resources.</w:t>
      </w:r>
      <w:r w:rsidR="00855F2E">
        <w:rPr>
          <w:rFonts w:ascii="ZWAdobeF" w:hAnsi="ZWAdobeF" w:cs="ZWAdobeF"/>
          <w:sz w:val="2"/>
          <w:szCs w:val="2"/>
        </w:rPr>
        <w:t>63F</w:t>
      </w:r>
      <w:r>
        <w:rPr>
          <w:rStyle w:val="FootnoteReference"/>
        </w:rPr>
        <w:footnoteReference w:id="66"/>
      </w:r>
    </w:p>
    <w:p w14:paraId="46A502C4" w14:textId="3D3AD6F5" w:rsidR="005F52AE" w:rsidRDefault="005F52AE" w:rsidP="005F52AE">
      <w:pPr>
        <w:pStyle w:val="ChapterBody"/>
        <w:numPr>
          <w:ilvl w:val="1"/>
          <w:numId w:val="5"/>
        </w:numPr>
        <w:ind w:left="850" w:hanging="850"/>
      </w:pPr>
      <w:r>
        <w:t>The Justice and Equity Centre suggested that the government should focus on ensuring access to community energy resources and efficiency upgrades in general are available to renters, social housing tenants, low-income households, and those in regional and remote communities.</w:t>
      </w:r>
      <w:r w:rsidR="00855F2E">
        <w:rPr>
          <w:rFonts w:ascii="ZWAdobeF" w:hAnsi="ZWAdobeF" w:cs="ZWAdobeF"/>
          <w:sz w:val="2"/>
          <w:szCs w:val="2"/>
        </w:rPr>
        <w:t>64F</w:t>
      </w:r>
      <w:r>
        <w:rPr>
          <w:rStyle w:val="FootnoteReference"/>
        </w:rPr>
        <w:footnoteReference w:id="67"/>
      </w:r>
    </w:p>
    <w:p w14:paraId="4367E841" w14:textId="013ACEA0" w:rsidR="005F52AE" w:rsidRDefault="005F52AE" w:rsidP="005F52AE">
      <w:pPr>
        <w:pStyle w:val="ChapterBody"/>
        <w:numPr>
          <w:ilvl w:val="1"/>
          <w:numId w:val="5"/>
        </w:numPr>
        <w:ind w:left="850" w:hanging="850"/>
      </w:pPr>
      <w:r>
        <w:t>Mr Raymond Kelly, Chairperson and Councillor for Sydney Newcastle Region, Aboriginal Land Council stated ‘the clean energy transition presents a significant economic opportunity for our communities, particularly in regional and remote communities’.</w:t>
      </w:r>
      <w:r w:rsidR="00855F2E">
        <w:rPr>
          <w:rFonts w:ascii="ZWAdobeF" w:hAnsi="ZWAdobeF" w:cs="ZWAdobeF"/>
          <w:sz w:val="2"/>
          <w:szCs w:val="2"/>
        </w:rPr>
        <w:t>65F</w:t>
      </w:r>
      <w:r>
        <w:rPr>
          <w:rStyle w:val="FootnoteReference"/>
        </w:rPr>
        <w:footnoteReference w:id="68"/>
      </w:r>
      <w:r>
        <w:t xml:space="preserve"> Mr Kelly noted that Aboriginal people have retained legal ownership of approximately 250,000 hectares of land across New South Wales, which provide an ‘opportunity for caring for Country through climate mitigation and renewable energy projects, and through biodiversity and habitat stewardship’.</w:t>
      </w:r>
      <w:r w:rsidR="00855F2E">
        <w:rPr>
          <w:rFonts w:ascii="ZWAdobeF" w:hAnsi="ZWAdobeF" w:cs="ZWAdobeF"/>
          <w:sz w:val="2"/>
          <w:szCs w:val="2"/>
        </w:rPr>
        <w:t>66F</w:t>
      </w:r>
      <w:r>
        <w:rPr>
          <w:rStyle w:val="FootnoteReference"/>
        </w:rPr>
        <w:footnoteReference w:id="69"/>
      </w:r>
      <w:r>
        <w:t xml:space="preserve"> </w:t>
      </w:r>
    </w:p>
    <w:p w14:paraId="0445D14B" w14:textId="79D2CD13" w:rsidR="005F52AE" w:rsidRDefault="005F52AE" w:rsidP="005F52AE">
      <w:pPr>
        <w:pStyle w:val="ChapterBody"/>
        <w:numPr>
          <w:ilvl w:val="1"/>
          <w:numId w:val="5"/>
        </w:numPr>
        <w:ind w:left="850" w:hanging="850"/>
      </w:pPr>
      <w:r>
        <w:t xml:space="preserve">To that end, Mr Kelly explained that 200 locations suitable for renewable energy projects on Aboriginal owned land have been identified, with a shortlist of approximately 50 sites proximate to Renewable Energy Zones, and a similar number </w:t>
      </w:r>
      <w:r w:rsidR="000449BE">
        <w:t>of</w:t>
      </w:r>
      <w:r>
        <w:t xml:space="preserve"> ‘end of the grid’ locations.</w:t>
      </w:r>
      <w:r w:rsidR="00855F2E">
        <w:rPr>
          <w:rFonts w:ascii="ZWAdobeF" w:hAnsi="ZWAdobeF" w:cs="ZWAdobeF"/>
          <w:sz w:val="2"/>
          <w:szCs w:val="2"/>
        </w:rPr>
        <w:t>67F</w:t>
      </w:r>
      <w:r>
        <w:rPr>
          <w:rStyle w:val="FootnoteReference"/>
        </w:rPr>
        <w:footnoteReference w:id="70"/>
      </w:r>
      <w:r>
        <w:t xml:space="preserve"> </w:t>
      </w:r>
    </w:p>
    <w:p w14:paraId="057AEF42" w14:textId="7A2A765A" w:rsidR="005F52AE" w:rsidRDefault="005F52AE" w:rsidP="005F52AE">
      <w:pPr>
        <w:pStyle w:val="ChapterBody"/>
        <w:numPr>
          <w:ilvl w:val="1"/>
          <w:numId w:val="5"/>
        </w:numPr>
        <w:ind w:left="850" w:hanging="850"/>
      </w:pPr>
      <w:r>
        <w:t xml:space="preserve">However, Mr Stephen </w:t>
      </w:r>
      <w:proofErr w:type="spellStart"/>
      <w:r>
        <w:t>Hynd</w:t>
      </w:r>
      <w:proofErr w:type="spellEnd"/>
      <w:r>
        <w:t xml:space="preserve">, </w:t>
      </w:r>
      <w:r w:rsidRPr="00F20202">
        <w:t>Executive Director, NSW Aboriginal Land Council</w:t>
      </w:r>
      <w:r>
        <w:t>, noted that engagement and discussion of opportunities in relation to renewable energy is often at first overly ‘general’ or ‘amorphous’, in ‘dribs and drabs’ before moving onto a ‘compulsory acquisition type process’ which is not the optimal outcome.</w:t>
      </w:r>
      <w:r w:rsidR="00855F2E">
        <w:rPr>
          <w:rFonts w:ascii="ZWAdobeF" w:hAnsi="ZWAdobeF" w:cs="ZWAdobeF"/>
          <w:sz w:val="2"/>
          <w:szCs w:val="2"/>
        </w:rPr>
        <w:t>68F</w:t>
      </w:r>
      <w:r>
        <w:rPr>
          <w:rStyle w:val="FootnoteReference"/>
        </w:rPr>
        <w:footnoteReference w:id="71"/>
      </w:r>
      <w:r>
        <w:t xml:space="preserve"> </w:t>
      </w:r>
    </w:p>
    <w:p w14:paraId="5839759E" w14:textId="4A0B4E02" w:rsidR="005F52AE" w:rsidRDefault="005F52AE" w:rsidP="005F52AE">
      <w:pPr>
        <w:pStyle w:val="ChapterBody"/>
        <w:numPr>
          <w:ilvl w:val="1"/>
          <w:numId w:val="5"/>
        </w:numPr>
        <w:ind w:left="850" w:hanging="850"/>
      </w:pPr>
      <w:r>
        <w:t>Mr Kelly noted that consultation and engagement with Aboriginal communities only go</w:t>
      </w:r>
      <w:r w:rsidR="00412EBB">
        <w:t>es</w:t>
      </w:r>
      <w:r>
        <w:t xml:space="preserve"> </w:t>
      </w:r>
      <w:r w:rsidR="00412EBB">
        <w:t>'</w:t>
      </w:r>
      <w:r>
        <w:t>so far’ and that active participation in, and contribution to, the net zero economy would be a preferable aim.</w:t>
      </w:r>
      <w:r w:rsidR="00855F2E">
        <w:rPr>
          <w:rFonts w:ascii="ZWAdobeF" w:hAnsi="ZWAdobeF" w:cs="ZWAdobeF"/>
          <w:sz w:val="2"/>
          <w:szCs w:val="2"/>
        </w:rPr>
        <w:t>69F</w:t>
      </w:r>
      <w:r>
        <w:rPr>
          <w:rStyle w:val="FootnoteReference"/>
        </w:rPr>
        <w:footnoteReference w:id="72"/>
      </w:r>
    </w:p>
    <w:p w14:paraId="2F62028B" w14:textId="77777777" w:rsidR="005F52AE" w:rsidRDefault="005F52AE" w:rsidP="00AF2C91">
      <w:pPr>
        <w:pStyle w:val="ChapterHeadingTwo"/>
      </w:pPr>
      <w:bookmarkStart w:id="61" w:name="_Toc194052251"/>
      <w:r>
        <w:lastRenderedPageBreak/>
        <w:t>Transport sector</w:t>
      </w:r>
      <w:bookmarkEnd w:id="61"/>
    </w:p>
    <w:p w14:paraId="5E0867A9" w14:textId="7BF56121" w:rsidR="005F52AE" w:rsidRDefault="005F52AE" w:rsidP="005F52AE">
      <w:pPr>
        <w:pStyle w:val="ChapterBody"/>
        <w:numPr>
          <w:ilvl w:val="1"/>
          <w:numId w:val="5"/>
        </w:numPr>
        <w:ind w:left="850" w:hanging="850"/>
      </w:pPr>
      <w:r>
        <w:t>The commission noted that transport is the ‘second highest’ emitting sector in New South Wales</w:t>
      </w:r>
      <w:r w:rsidR="00EB5F0E">
        <w:t>,</w:t>
      </w:r>
      <w:r>
        <w:t xml:space="preserve"> has only made ‘limited progress’ in reducing emissions, and that road transport specifically is responsible for 87 per cent of transport emissions.</w:t>
      </w:r>
      <w:r w:rsidR="00855F2E">
        <w:rPr>
          <w:rFonts w:ascii="ZWAdobeF" w:hAnsi="ZWAdobeF" w:cs="ZWAdobeF"/>
          <w:sz w:val="2"/>
          <w:szCs w:val="2"/>
        </w:rPr>
        <w:t>70F</w:t>
      </w:r>
      <w:r>
        <w:rPr>
          <w:rStyle w:val="FootnoteReference"/>
        </w:rPr>
        <w:footnoteReference w:id="73"/>
      </w:r>
    </w:p>
    <w:p w14:paraId="037D9E15" w14:textId="3E618A94" w:rsidR="005F52AE" w:rsidRDefault="005F52AE" w:rsidP="005F52AE">
      <w:pPr>
        <w:pStyle w:val="ChapterBody"/>
        <w:numPr>
          <w:ilvl w:val="1"/>
          <w:numId w:val="5"/>
        </w:numPr>
        <w:ind w:left="850" w:hanging="850"/>
      </w:pPr>
      <w:r>
        <w:t>The Citizens</w:t>
      </w:r>
      <w:r w:rsidR="00420B36">
        <w:t>’</w:t>
      </w:r>
      <w:r>
        <w:t xml:space="preserve"> Climate Lobby noted that with approximately 4.5 million passenger vehicles registered in New South Wales and given that cars are kept for 10 years on average, it may be difficult to meaningfully reduce emissions from road transport in order to reach emissions reductions targets</w:t>
      </w:r>
      <w:r w:rsidR="00392EC1">
        <w:t xml:space="preserve"> while </w:t>
      </w:r>
      <w:r w:rsidR="00FB1354">
        <w:t>combustion engine</w:t>
      </w:r>
      <w:r w:rsidR="00392EC1">
        <w:t xml:space="preserve"> vehicles continue to be sold</w:t>
      </w:r>
      <w:r w:rsidR="0064111A">
        <w:t xml:space="preserve"> in large numbers</w:t>
      </w:r>
      <w:r>
        <w:t>.</w:t>
      </w:r>
      <w:r w:rsidR="00855F2E">
        <w:rPr>
          <w:rFonts w:ascii="ZWAdobeF" w:hAnsi="ZWAdobeF" w:cs="ZWAdobeF"/>
          <w:sz w:val="2"/>
          <w:szCs w:val="2"/>
        </w:rPr>
        <w:t>71F</w:t>
      </w:r>
      <w:r>
        <w:rPr>
          <w:rStyle w:val="FootnoteReference"/>
        </w:rPr>
        <w:footnoteReference w:id="74"/>
      </w:r>
    </w:p>
    <w:p w14:paraId="05263D63" w14:textId="38BCF10C" w:rsidR="005F52AE" w:rsidRDefault="005F52AE" w:rsidP="005F52AE">
      <w:pPr>
        <w:pStyle w:val="ChapterBody"/>
        <w:numPr>
          <w:ilvl w:val="1"/>
          <w:numId w:val="5"/>
        </w:numPr>
        <w:ind w:left="850" w:hanging="850"/>
      </w:pPr>
      <w:r>
        <w:t>Doctors for the Environment Australia (DEA) noted that encouraging ‘active transport’ such as walking or cycling would reduce transport emissions whilst also paying a public health dividend.</w:t>
      </w:r>
      <w:r w:rsidR="00855F2E">
        <w:rPr>
          <w:rFonts w:ascii="ZWAdobeF" w:hAnsi="ZWAdobeF" w:cs="ZWAdobeF"/>
          <w:sz w:val="2"/>
          <w:szCs w:val="2"/>
        </w:rPr>
        <w:t>72F</w:t>
      </w:r>
      <w:r>
        <w:rPr>
          <w:rStyle w:val="FootnoteReference"/>
        </w:rPr>
        <w:footnoteReference w:id="75"/>
      </w:r>
      <w:r>
        <w:t xml:space="preserve"> DEA noted in their submission that NSW Health recently published the </w:t>
      </w:r>
      <w:r w:rsidRPr="00244BDD">
        <w:t>NSW Active Transport Health Model</w:t>
      </w:r>
      <w:r>
        <w:t>,</w:t>
      </w:r>
      <w:r w:rsidR="00855F2E">
        <w:rPr>
          <w:rFonts w:ascii="ZWAdobeF" w:hAnsi="ZWAdobeF" w:cs="ZWAdobeF"/>
          <w:sz w:val="2"/>
          <w:szCs w:val="2"/>
        </w:rPr>
        <w:t>73F</w:t>
      </w:r>
      <w:r>
        <w:rPr>
          <w:rStyle w:val="FootnoteReference"/>
        </w:rPr>
        <w:footnoteReference w:id="76"/>
      </w:r>
      <w:r>
        <w:t xml:space="preserve"> which provides estimates of health-related benefits for walking or cycling to work. The model suggests that for each additional kilometre walked or cycled to work there is a health benefit of $5.24 or $2.95-2.97 respectively.</w:t>
      </w:r>
      <w:r w:rsidR="00855F2E">
        <w:rPr>
          <w:rFonts w:ascii="ZWAdobeF" w:hAnsi="ZWAdobeF" w:cs="ZWAdobeF"/>
          <w:sz w:val="2"/>
          <w:szCs w:val="2"/>
        </w:rPr>
        <w:t>74F</w:t>
      </w:r>
      <w:r>
        <w:rPr>
          <w:rStyle w:val="FootnoteReference"/>
        </w:rPr>
        <w:footnoteReference w:id="77"/>
      </w:r>
      <w:r>
        <w:t xml:space="preserve"> The DEA further observed that while the 2024 report notes that active transport is key to avoiding emissions, it is only a brief mention in the report.</w:t>
      </w:r>
      <w:r w:rsidR="00855F2E">
        <w:rPr>
          <w:rFonts w:ascii="ZWAdobeF" w:hAnsi="ZWAdobeF" w:cs="ZWAdobeF"/>
          <w:sz w:val="2"/>
          <w:szCs w:val="2"/>
        </w:rPr>
        <w:t>75F</w:t>
      </w:r>
      <w:r>
        <w:rPr>
          <w:rStyle w:val="FootnoteReference"/>
        </w:rPr>
        <w:footnoteReference w:id="78"/>
      </w:r>
    </w:p>
    <w:p w14:paraId="270DA375" w14:textId="77777777" w:rsidR="005F52AE" w:rsidRDefault="005F52AE" w:rsidP="005F52AE">
      <w:pPr>
        <w:pStyle w:val="ChapterBody"/>
        <w:numPr>
          <w:ilvl w:val="1"/>
          <w:numId w:val="5"/>
        </w:numPr>
        <w:ind w:left="850" w:hanging="850"/>
      </w:pPr>
      <w:r>
        <w:t>The Climate Council said that in some sectors, such as transport, due to the length of time that a vehicle is put into service, the earlier that regulatory changes to encourage the purchase of new low emissions vehicles rather than those powered by fossil fuels can be made, the sooner the benefit in terms of emissions reduction can be seen:</w:t>
      </w:r>
    </w:p>
    <w:p w14:paraId="51448496" w14:textId="43782DA7" w:rsidR="005F52AE" w:rsidRDefault="005F52AE">
      <w:pPr>
        <w:pStyle w:val="ChapterQuotation"/>
      </w:pPr>
      <w:r>
        <w:t xml:space="preserve">Some of the sectors are going to take a long time. Capital stock turnover of housing and housing stock, for </w:t>
      </w:r>
      <w:proofErr w:type="gramStart"/>
      <w:r>
        <w:t>example—20</w:t>
      </w:r>
      <w:proofErr w:type="gramEnd"/>
      <w:r>
        <w:t xml:space="preserve"> to 30 years of cars, 20 years. It's one of those things where, for example, if EV charging rollout throughout New South Wales was accelerated by regulation, legislation, whatever, that begins to make an effect year by year. Some of the areas—transportation being one, obviously—can move incrementally every single year, which is great.</w:t>
      </w:r>
      <w:r w:rsidR="00855F2E">
        <w:rPr>
          <w:rFonts w:ascii="ZWAdobeF" w:hAnsi="ZWAdobeF" w:cs="ZWAdobeF"/>
          <w:sz w:val="2"/>
          <w:szCs w:val="2"/>
        </w:rPr>
        <w:t>76F</w:t>
      </w:r>
      <w:r>
        <w:rPr>
          <w:rStyle w:val="FootnoteReference"/>
        </w:rPr>
        <w:footnoteReference w:id="79"/>
      </w:r>
    </w:p>
    <w:p w14:paraId="4C9F5A77" w14:textId="77777777" w:rsidR="005F52AE" w:rsidRDefault="005F52AE" w:rsidP="005F52AE">
      <w:pPr>
        <w:pStyle w:val="ChapterBody"/>
        <w:numPr>
          <w:ilvl w:val="1"/>
          <w:numId w:val="5"/>
        </w:numPr>
        <w:ind w:left="850" w:hanging="850"/>
      </w:pPr>
      <w:r>
        <w:t xml:space="preserve">Dr Hermoine Parsons, </w:t>
      </w:r>
      <w:r w:rsidRPr="004072F1">
        <w:t>Chief Executive Officer and Managing Director, Australian Logistics Council,</w:t>
      </w:r>
      <w:r>
        <w:t xml:space="preserve"> said that the commission's 2024 annual report ‘</w:t>
      </w:r>
      <w:r w:rsidRPr="001A63EC">
        <w:t>doesn't really consider freight</w:t>
      </w:r>
      <w:r>
        <w:t>’ but provided an example of a recent decarbonisation success story in the freight sector:</w:t>
      </w:r>
    </w:p>
    <w:p w14:paraId="185E5742" w14:textId="747C46C4" w:rsidR="005F52AE" w:rsidRDefault="005F52AE">
      <w:pPr>
        <w:pStyle w:val="ChapterQuotation"/>
      </w:pPr>
      <w:r w:rsidRPr="00F80EBA">
        <w:t>I'll give an example of the freight logistics chain from NSW Ports Port Botany</w:t>
      </w:r>
      <w:r w:rsidR="00144571">
        <w:t xml:space="preserve"> </w:t>
      </w:r>
      <w:r>
        <w:t xml:space="preserve">… </w:t>
      </w:r>
      <w:r w:rsidRPr="00E64ADD">
        <w:t>you have a dedicated freight line from Port Botany</w:t>
      </w:r>
      <w:r w:rsidR="00144571">
        <w:t xml:space="preserve"> </w:t>
      </w:r>
      <w:r>
        <w:t>… By doing this, you cut out hundreds and hundreds of trucks per day</w:t>
      </w:r>
      <w:r w:rsidR="00144571">
        <w:t xml:space="preserve"> </w:t>
      </w:r>
      <w:r>
        <w:t>… and rail has 16 times less greenhouse gas emissions than road</w:t>
      </w:r>
      <w:r w:rsidR="009F4C2B">
        <w:t xml:space="preserve"> </w:t>
      </w:r>
      <w:r>
        <w:t xml:space="preserve">… This type of a system connecting ports, road, rail and distribution centres </w:t>
      </w:r>
      <w:r>
        <w:lastRenderedPageBreak/>
        <w:t>is a marvellous opportunity to decarbonise a lot of the freight moving to and from the port in Sydney.</w:t>
      </w:r>
      <w:r w:rsidR="00855F2E">
        <w:rPr>
          <w:rFonts w:ascii="ZWAdobeF" w:hAnsi="ZWAdobeF" w:cs="ZWAdobeF"/>
          <w:sz w:val="2"/>
          <w:szCs w:val="2"/>
        </w:rPr>
        <w:t>77F</w:t>
      </w:r>
      <w:r>
        <w:rPr>
          <w:rStyle w:val="FootnoteReference"/>
        </w:rPr>
        <w:footnoteReference w:id="80"/>
      </w:r>
    </w:p>
    <w:p w14:paraId="76463226" w14:textId="0F00CA83" w:rsidR="005F52AE" w:rsidRDefault="005F52AE" w:rsidP="005F52AE">
      <w:pPr>
        <w:pStyle w:val="ChapterBody"/>
        <w:numPr>
          <w:ilvl w:val="1"/>
          <w:numId w:val="5"/>
        </w:numPr>
        <w:ind w:left="850" w:hanging="850"/>
      </w:pPr>
      <w:r>
        <w:t>The Australian Logistics Council argued that regulation might need review in order to encourage broader adoption of these systems, as the current ‘charging mechanism basically gives advantage to road transport’</w:t>
      </w:r>
      <w:r w:rsidR="00407FE8">
        <w:t>.</w:t>
      </w:r>
      <w:r w:rsidR="00855F2E">
        <w:rPr>
          <w:rFonts w:ascii="ZWAdobeF" w:hAnsi="ZWAdobeF" w:cs="ZWAdobeF"/>
          <w:sz w:val="2"/>
          <w:szCs w:val="2"/>
        </w:rPr>
        <w:t>78F</w:t>
      </w:r>
      <w:r>
        <w:rPr>
          <w:rStyle w:val="FootnoteReference"/>
        </w:rPr>
        <w:footnoteReference w:id="81"/>
      </w:r>
    </w:p>
    <w:p w14:paraId="7DFEDE54" w14:textId="77777777" w:rsidR="005F52AE" w:rsidRDefault="005F52AE" w:rsidP="00AF2C91">
      <w:pPr>
        <w:pStyle w:val="ChapterHeadingTwo"/>
      </w:pPr>
      <w:bookmarkStart w:id="62" w:name="_Toc194052252"/>
      <w:r>
        <w:t>Agriculture and land sector</w:t>
      </w:r>
      <w:bookmarkEnd w:id="62"/>
    </w:p>
    <w:p w14:paraId="35A4268A" w14:textId="77777777" w:rsidR="005F52AE" w:rsidRDefault="005F52AE" w:rsidP="005F52AE">
      <w:pPr>
        <w:pStyle w:val="ChapterBody"/>
        <w:keepNext/>
        <w:numPr>
          <w:ilvl w:val="1"/>
          <w:numId w:val="5"/>
        </w:numPr>
      </w:pPr>
      <w:r>
        <w:t xml:space="preserve">The commission provided a </w:t>
      </w:r>
      <w:r w:rsidRPr="00AF3B9C">
        <w:t>précis</w:t>
      </w:r>
      <w:r>
        <w:t xml:space="preserve"> of emissions across the agriculture and land sectors since 2005, advising that:</w:t>
      </w:r>
    </w:p>
    <w:p w14:paraId="756756DE" w14:textId="327FE4AB" w:rsidR="005F52AE" w:rsidRDefault="005F52AE" w:rsidP="005F52AE">
      <w:pPr>
        <w:pStyle w:val="ChapterBullet"/>
        <w:numPr>
          <w:ilvl w:val="0"/>
          <w:numId w:val="3"/>
        </w:numPr>
      </w:pPr>
      <w:r>
        <w:t>there has been ‘limited’ overall progress in reducing emissions in the agriculture sector, with a temporary decline in emissions between 2017-2020 only due to drought affecting most of the state</w:t>
      </w:r>
      <w:r w:rsidR="00855F2E">
        <w:rPr>
          <w:rFonts w:ascii="ZWAdobeF" w:hAnsi="ZWAdobeF" w:cs="ZWAdobeF"/>
          <w:sz w:val="2"/>
          <w:szCs w:val="2"/>
        </w:rPr>
        <w:t>79F</w:t>
      </w:r>
      <w:r>
        <w:rPr>
          <w:rStyle w:val="FootnoteReference"/>
        </w:rPr>
        <w:footnoteReference w:id="82"/>
      </w:r>
    </w:p>
    <w:p w14:paraId="187C8194" w14:textId="6F743EE6" w:rsidR="005F52AE" w:rsidRDefault="005F52AE" w:rsidP="005F52AE">
      <w:pPr>
        <w:pStyle w:val="ChapterBullet"/>
        <w:numPr>
          <w:ilvl w:val="0"/>
          <w:numId w:val="3"/>
        </w:numPr>
      </w:pPr>
      <w:r>
        <w:t>as of 2022 agriculture currently comprises about 17 per cent of the state's emissions, however the commission noted that without accelerated reductions, is ‘likely to be the largest source of remaining emissions in 2050’</w:t>
      </w:r>
      <w:r w:rsidR="00855F2E">
        <w:rPr>
          <w:rFonts w:ascii="ZWAdobeF" w:hAnsi="ZWAdobeF" w:cs="ZWAdobeF"/>
          <w:sz w:val="2"/>
          <w:szCs w:val="2"/>
        </w:rPr>
        <w:t>80F</w:t>
      </w:r>
      <w:r>
        <w:rPr>
          <w:rStyle w:val="FootnoteReference"/>
        </w:rPr>
        <w:footnoteReference w:id="83"/>
      </w:r>
    </w:p>
    <w:p w14:paraId="7B83D936" w14:textId="14F6C65C" w:rsidR="005F52AE" w:rsidRDefault="005F52AE" w:rsidP="005F52AE">
      <w:pPr>
        <w:pStyle w:val="ChapterBullet"/>
        <w:numPr>
          <w:ilvl w:val="0"/>
          <w:numId w:val="3"/>
        </w:numPr>
      </w:pPr>
      <w:r>
        <w:t>a reduction in emissions from the land sector ‘could’ make major contributions to emissions reduction in New South Wales, however the commission cautioned there is ‘considerable uncertainty’ in estimates, as ‘advances in estimation methods have frequently produced major recalculations of historical emissions’.</w:t>
      </w:r>
      <w:r w:rsidR="00855F2E">
        <w:rPr>
          <w:rFonts w:ascii="ZWAdobeF" w:hAnsi="ZWAdobeF" w:cs="ZWAdobeF"/>
          <w:sz w:val="2"/>
          <w:szCs w:val="2"/>
        </w:rPr>
        <w:t>81F</w:t>
      </w:r>
      <w:r>
        <w:rPr>
          <w:rStyle w:val="FootnoteReference"/>
        </w:rPr>
        <w:footnoteReference w:id="84"/>
      </w:r>
      <w:r>
        <w:t xml:space="preserve"> The commission noted there is also uncertainty about the ‘degree of performance’ of land-based emissions reductions, particularly in a changing climate.</w:t>
      </w:r>
      <w:r w:rsidR="00855F2E">
        <w:rPr>
          <w:rFonts w:ascii="ZWAdobeF" w:hAnsi="ZWAdobeF" w:cs="ZWAdobeF"/>
          <w:sz w:val="2"/>
          <w:szCs w:val="2"/>
        </w:rPr>
        <w:t>82F</w:t>
      </w:r>
      <w:r>
        <w:rPr>
          <w:rStyle w:val="FootnoteReference"/>
        </w:rPr>
        <w:footnoteReference w:id="85"/>
      </w:r>
    </w:p>
    <w:p w14:paraId="0C30F3A4" w14:textId="31B35D53" w:rsidR="005F52AE" w:rsidRDefault="005F52AE" w:rsidP="005F52AE">
      <w:pPr>
        <w:pStyle w:val="ChapterBody"/>
        <w:numPr>
          <w:ilvl w:val="1"/>
          <w:numId w:val="5"/>
        </w:numPr>
        <w:ind w:left="850" w:hanging="850"/>
      </w:pPr>
      <w:r>
        <w:t xml:space="preserve">The </w:t>
      </w:r>
      <w:r w:rsidR="00E82309" w:rsidRPr="00E82309">
        <w:t>Citizens’</w:t>
      </w:r>
      <w:r>
        <w:t xml:space="preserve"> Climate </w:t>
      </w:r>
      <w:r w:rsidR="00E82309" w:rsidRPr="00E82309">
        <w:t>Lobby Australia</w:t>
      </w:r>
      <w:r>
        <w:t xml:space="preserve"> suggested that given the commission’s observation that there is significant uncertainty associated with the land sector’s emissions, that these should not be relied upon to create a ‘false impression of progress’ towards the net zero targets.</w:t>
      </w:r>
      <w:r w:rsidR="00855F2E">
        <w:rPr>
          <w:rFonts w:ascii="ZWAdobeF" w:hAnsi="ZWAdobeF" w:cs="ZWAdobeF"/>
          <w:sz w:val="2"/>
          <w:szCs w:val="2"/>
        </w:rPr>
        <w:t>83F</w:t>
      </w:r>
      <w:r>
        <w:rPr>
          <w:rStyle w:val="FootnoteReference"/>
        </w:rPr>
        <w:footnoteReference w:id="86"/>
      </w:r>
      <w:r>
        <w:t xml:space="preserve"> </w:t>
      </w:r>
    </w:p>
    <w:p w14:paraId="4CFF9A57" w14:textId="1CA6B9B1" w:rsidR="005F52AE" w:rsidRDefault="005F52AE" w:rsidP="005F52AE">
      <w:pPr>
        <w:pStyle w:val="ChapterBody"/>
        <w:numPr>
          <w:ilvl w:val="1"/>
          <w:numId w:val="5"/>
        </w:numPr>
        <w:ind w:left="850" w:hanging="850"/>
      </w:pPr>
      <w:r>
        <w:t>Wilderness Australia observed that biodiversity and carbon emissions are closely linked and suggested that protecting and restoring areas of high ecological integrity will minimise emissions from the land whilst also protecting endangered species such as Koala and Greater Glider.</w:t>
      </w:r>
      <w:r w:rsidR="00855F2E">
        <w:rPr>
          <w:rFonts w:ascii="ZWAdobeF" w:hAnsi="ZWAdobeF" w:cs="ZWAdobeF"/>
          <w:sz w:val="2"/>
          <w:szCs w:val="2"/>
        </w:rPr>
        <w:t>84F</w:t>
      </w:r>
      <w:r>
        <w:rPr>
          <w:rStyle w:val="FootnoteReference"/>
        </w:rPr>
        <w:footnoteReference w:id="87"/>
      </w:r>
      <w:r>
        <w:t xml:space="preserve"> As such Wilderness Australia recommend cessation of logging in key areas, development of a forest ecosystem recovery plan and providing funding for regional communities to be involved in supporting forest recovery efforts.</w:t>
      </w:r>
      <w:r w:rsidR="00855F2E">
        <w:rPr>
          <w:rFonts w:ascii="ZWAdobeF" w:hAnsi="ZWAdobeF" w:cs="ZWAdobeF"/>
          <w:sz w:val="2"/>
          <w:szCs w:val="2"/>
        </w:rPr>
        <w:t>85F</w:t>
      </w:r>
      <w:r>
        <w:rPr>
          <w:rStyle w:val="FootnoteReference"/>
        </w:rPr>
        <w:footnoteReference w:id="88"/>
      </w:r>
      <w:r>
        <w:t xml:space="preserve"> Cessation of native forest logging as a strategy to support </w:t>
      </w:r>
      <w:r>
        <w:lastRenderedPageBreak/>
        <w:t>emission reductions was widely proposed by a number of stakeholders,</w:t>
      </w:r>
      <w:r w:rsidR="00855F2E">
        <w:rPr>
          <w:rFonts w:ascii="ZWAdobeF" w:hAnsi="ZWAdobeF" w:cs="ZWAdobeF"/>
          <w:sz w:val="2"/>
          <w:szCs w:val="2"/>
        </w:rPr>
        <w:t>86F</w:t>
      </w:r>
      <w:r>
        <w:rPr>
          <w:rStyle w:val="FootnoteReference"/>
        </w:rPr>
        <w:footnoteReference w:id="89"/>
      </w:r>
      <w:r>
        <w:t xml:space="preserve"> with the North East Forest Alliance suggesting that as older trees sequester exponentially more carbon, cessation of logging in forests could sequester ‘an additional 2 million tonnes of CO</w:t>
      </w:r>
      <w:r w:rsidRPr="00936075">
        <w:rPr>
          <w:vertAlign w:val="subscript"/>
        </w:rPr>
        <w:t>2</w:t>
      </w:r>
      <w:r>
        <w:t xml:space="preserve"> per annum over the next hundred years’.</w:t>
      </w:r>
      <w:r w:rsidR="00855F2E">
        <w:rPr>
          <w:rFonts w:ascii="ZWAdobeF" w:hAnsi="ZWAdobeF" w:cs="ZWAdobeF"/>
          <w:sz w:val="2"/>
          <w:szCs w:val="2"/>
        </w:rPr>
        <w:t>87F</w:t>
      </w:r>
      <w:r>
        <w:rPr>
          <w:rStyle w:val="FootnoteReference"/>
        </w:rPr>
        <w:footnoteReference w:id="90"/>
      </w:r>
    </w:p>
    <w:p w14:paraId="04D0EB8D" w14:textId="432E82DC" w:rsidR="005F52AE" w:rsidRDefault="005F52AE" w:rsidP="005F52AE">
      <w:pPr>
        <w:pStyle w:val="ChapterBody"/>
        <w:numPr>
          <w:ilvl w:val="1"/>
          <w:numId w:val="5"/>
        </w:numPr>
        <w:ind w:left="850" w:hanging="850"/>
      </w:pPr>
      <w:r>
        <w:t>In response to questions from the committee on leveraging Aboriginal landholdings and knowledge to reach net zero, Professor Andrew Pitman noted that there is ‘very good evidence’ from the Northern Territory that Indigenous land practices help store carbon, and that it would be worthwhile seeking to develop similar evidence in New South Wales.</w:t>
      </w:r>
      <w:r w:rsidR="00855F2E">
        <w:rPr>
          <w:rFonts w:ascii="ZWAdobeF" w:hAnsi="ZWAdobeF" w:cs="ZWAdobeF"/>
          <w:sz w:val="2"/>
          <w:szCs w:val="2"/>
        </w:rPr>
        <w:t>88F</w:t>
      </w:r>
      <w:r>
        <w:rPr>
          <w:rStyle w:val="FootnoteReference"/>
        </w:rPr>
        <w:footnoteReference w:id="91"/>
      </w:r>
    </w:p>
    <w:p w14:paraId="5DE941EF" w14:textId="659511ED" w:rsidR="005F52AE" w:rsidRDefault="005F52AE" w:rsidP="005F52AE">
      <w:pPr>
        <w:pStyle w:val="ChapterBody"/>
        <w:numPr>
          <w:ilvl w:val="1"/>
          <w:numId w:val="5"/>
        </w:numPr>
        <w:spacing w:after="240"/>
      </w:pPr>
      <w:r>
        <w:t>The Net Zero Commission made note of a number of government strategies and plans to reduce emissions from agriculture, outlined below:</w:t>
      </w:r>
    </w:p>
    <w:p w14:paraId="58935320" w14:textId="77777777" w:rsidR="005F52AE" w:rsidRDefault="005F52AE" w:rsidP="005F52AE">
      <w:pPr>
        <w:pStyle w:val="ChapterTableHeading"/>
        <w:keepNext/>
        <w:ind w:left="1985" w:hanging="1134"/>
      </w:pPr>
      <w:r>
        <w:t>Recent government initiatives to reduce carbon emissions in the agricultural sector noted in the 2024 annual report of the Net Zero Commission</w:t>
      </w:r>
    </w:p>
    <w:tbl>
      <w:tblPr>
        <w:tblStyle w:val="TableGrid"/>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4525"/>
        <w:gridCol w:w="10"/>
      </w:tblGrid>
      <w:tr w:rsidR="005F52AE" w14:paraId="62C7EDF1" w14:textId="77777777">
        <w:trPr>
          <w:trHeight w:val="397"/>
        </w:trPr>
        <w:tc>
          <w:tcPr>
            <w:tcW w:w="1985" w:type="dxa"/>
            <w:tcBorders>
              <w:top w:val="single" w:sz="8" w:space="0" w:color="auto"/>
              <w:bottom w:val="single" w:sz="8" w:space="0" w:color="auto"/>
            </w:tcBorders>
            <w:vAlign w:val="center"/>
          </w:tcPr>
          <w:p w14:paraId="26E8E2A5" w14:textId="77777777" w:rsidR="005F52AE" w:rsidRPr="003F175C" w:rsidRDefault="005F52AE">
            <w:pPr>
              <w:pStyle w:val="ChapterBody"/>
              <w:numPr>
                <w:ilvl w:val="0"/>
                <w:numId w:val="0"/>
              </w:numPr>
              <w:spacing w:before="60" w:after="60"/>
              <w:jc w:val="center"/>
              <w:rPr>
                <w:b/>
                <w:bCs/>
              </w:rPr>
            </w:pPr>
            <w:r w:rsidRPr="003F175C">
              <w:rPr>
                <w:b/>
                <w:bCs/>
              </w:rPr>
              <w:t>Government or Agency</w:t>
            </w:r>
          </w:p>
        </w:tc>
        <w:tc>
          <w:tcPr>
            <w:tcW w:w="2268" w:type="dxa"/>
            <w:tcBorders>
              <w:top w:val="single" w:sz="8" w:space="0" w:color="auto"/>
              <w:bottom w:val="single" w:sz="8" w:space="0" w:color="auto"/>
            </w:tcBorders>
            <w:vAlign w:val="center"/>
          </w:tcPr>
          <w:p w14:paraId="4F4B9C9F" w14:textId="77777777" w:rsidR="005F52AE" w:rsidRPr="003F175C" w:rsidRDefault="005F52AE">
            <w:pPr>
              <w:pStyle w:val="ChapterBody"/>
              <w:numPr>
                <w:ilvl w:val="0"/>
                <w:numId w:val="0"/>
              </w:numPr>
              <w:spacing w:before="60" w:after="60"/>
              <w:jc w:val="center"/>
              <w:rPr>
                <w:b/>
                <w:bCs/>
              </w:rPr>
            </w:pPr>
            <w:r w:rsidRPr="003F175C">
              <w:rPr>
                <w:b/>
                <w:bCs/>
              </w:rPr>
              <w:t>Program</w:t>
            </w:r>
          </w:p>
        </w:tc>
        <w:tc>
          <w:tcPr>
            <w:tcW w:w="4536" w:type="dxa"/>
            <w:gridSpan w:val="2"/>
            <w:tcBorders>
              <w:top w:val="single" w:sz="8" w:space="0" w:color="auto"/>
              <w:bottom w:val="single" w:sz="8" w:space="0" w:color="auto"/>
            </w:tcBorders>
            <w:vAlign w:val="center"/>
          </w:tcPr>
          <w:p w14:paraId="22C460F2" w14:textId="77777777" w:rsidR="005F52AE" w:rsidRPr="003F175C" w:rsidRDefault="005F52AE">
            <w:pPr>
              <w:pStyle w:val="ChapterBody"/>
              <w:numPr>
                <w:ilvl w:val="0"/>
                <w:numId w:val="0"/>
              </w:numPr>
              <w:spacing w:before="60" w:after="60"/>
              <w:jc w:val="center"/>
              <w:rPr>
                <w:b/>
                <w:bCs/>
              </w:rPr>
            </w:pPr>
            <w:r w:rsidRPr="003F175C">
              <w:rPr>
                <w:b/>
                <w:bCs/>
              </w:rPr>
              <w:t>Output(s)</w:t>
            </w:r>
          </w:p>
        </w:tc>
      </w:tr>
      <w:tr w:rsidR="005F52AE" w14:paraId="76C19D67" w14:textId="77777777">
        <w:tc>
          <w:tcPr>
            <w:tcW w:w="1985" w:type="dxa"/>
            <w:vMerge w:val="restart"/>
            <w:tcBorders>
              <w:top w:val="single" w:sz="8" w:space="0" w:color="auto"/>
            </w:tcBorders>
            <w:vAlign w:val="center"/>
          </w:tcPr>
          <w:p w14:paraId="2B002213" w14:textId="77777777" w:rsidR="005F52AE" w:rsidRDefault="005F52AE">
            <w:pPr>
              <w:pStyle w:val="ChapterBody"/>
              <w:numPr>
                <w:ilvl w:val="0"/>
                <w:numId w:val="0"/>
              </w:numPr>
              <w:spacing w:before="60" w:after="60"/>
              <w:jc w:val="center"/>
            </w:pPr>
            <w:r>
              <w:t>Australian Government</w:t>
            </w:r>
          </w:p>
        </w:tc>
        <w:tc>
          <w:tcPr>
            <w:tcW w:w="2268" w:type="dxa"/>
            <w:tcBorders>
              <w:top w:val="single" w:sz="8" w:space="0" w:color="auto"/>
            </w:tcBorders>
            <w:vAlign w:val="center"/>
          </w:tcPr>
          <w:p w14:paraId="3F27FF7B" w14:textId="77777777" w:rsidR="005F52AE" w:rsidRDefault="005F52AE">
            <w:pPr>
              <w:pStyle w:val="ChapterBody"/>
              <w:numPr>
                <w:ilvl w:val="0"/>
                <w:numId w:val="0"/>
              </w:numPr>
              <w:spacing w:before="60" w:after="60"/>
              <w:jc w:val="center"/>
            </w:pPr>
            <w:r>
              <w:t>Methane Emissions Reduction in Livestock (</w:t>
            </w:r>
            <w:proofErr w:type="spellStart"/>
            <w:r>
              <w:t>MERiL</w:t>
            </w:r>
            <w:proofErr w:type="spellEnd"/>
            <w:r>
              <w:t>)</w:t>
            </w:r>
          </w:p>
        </w:tc>
        <w:tc>
          <w:tcPr>
            <w:tcW w:w="4536" w:type="dxa"/>
            <w:gridSpan w:val="2"/>
            <w:tcBorders>
              <w:top w:val="single" w:sz="8" w:space="0" w:color="auto"/>
            </w:tcBorders>
            <w:vAlign w:val="center"/>
          </w:tcPr>
          <w:p w14:paraId="7C80DD95" w14:textId="77777777" w:rsidR="005F52AE" w:rsidRDefault="005F52AE" w:rsidP="005F52AE">
            <w:pPr>
              <w:pStyle w:val="ChapterBody"/>
              <w:numPr>
                <w:ilvl w:val="0"/>
                <w:numId w:val="25"/>
              </w:numPr>
              <w:spacing w:before="60" w:after="60"/>
              <w:jc w:val="center"/>
            </w:pPr>
            <w:r>
              <w:t>Livestock Emissions Framework for Feed Technologies (2023)</w:t>
            </w:r>
          </w:p>
        </w:tc>
      </w:tr>
      <w:tr w:rsidR="005F52AE" w14:paraId="3CBD154C" w14:textId="77777777">
        <w:tc>
          <w:tcPr>
            <w:tcW w:w="1985" w:type="dxa"/>
            <w:vMerge/>
            <w:vAlign w:val="center"/>
          </w:tcPr>
          <w:p w14:paraId="7CC0776B" w14:textId="77777777" w:rsidR="005F52AE" w:rsidRDefault="005F52AE">
            <w:pPr>
              <w:pStyle w:val="ChapterBody"/>
              <w:numPr>
                <w:ilvl w:val="0"/>
                <w:numId w:val="0"/>
              </w:numPr>
              <w:spacing w:before="60" w:after="60"/>
              <w:jc w:val="center"/>
            </w:pPr>
          </w:p>
        </w:tc>
        <w:tc>
          <w:tcPr>
            <w:tcW w:w="2268" w:type="dxa"/>
            <w:vAlign w:val="center"/>
          </w:tcPr>
          <w:p w14:paraId="7EB23F93" w14:textId="77777777" w:rsidR="005F52AE" w:rsidRDefault="005F52AE">
            <w:pPr>
              <w:pStyle w:val="ChapterBody"/>
              <w:numPr>
                <w:ilvl w:val="0"/>
                <w:numId w:val="0"/>
              </w:numPr>
              <w:spacing w:before="60" w:after="60"/>
              <w:jc w:val="center"/>
            </w:pPr>
            <w:r>
              <w:t>Net Zero Plan</w:t>
            </w:r>
          </w:p>
        </w:tc>
        <w:tc>
          <w:tcPr>
            <w:tcW w:w="4536" w:type="dxa"/>
            <w:gridSpan w:val="2"/>
            <w:vAlign w:val="center"/>
          </w:tcPr>
          <w:p w14:paraId="173DE669" w14:textId="77777777" w:rsidR="005F52AE" w:rsidRDefault="005F52AE" w:rsidP="005F52AE">
            <w:pPr>
              <w:pStyle w:val="ChapterBody"/>
              <w:numPr>
                <w:ilvl w:val="0"/>
                <w:numId w:val="24"/>
              </w:numPr>
              <w:spacing w:before="60" w:after="60"/>
              <w:jc w:val="center"/>
            </w:pPr>
            <w:r>
              <w:t>Agriculture and Land Sectoral Plan</w:t>
            </w:r>
          </w:p>
        </w:tc>
      </w:tr>
      <w:tr w:rsidR="005F52AE" w14:paraId="01E0271B" w14:textId="77777777">
        <w:trPr>
          <w:gridAfter w:val="1"/>
          <w:wAfter w:w="10" w:type="dxa"/>
        </w:trPr>
        <w:tc>
          <w:tcPr>
            <w:tcW w:w="1985" w:type="dxa"/>
            <w:tcBorders>
              <w:bottom w:val="single" w:sz="8" w:space="0" w:color="auto"/>
            </w:tcBorders>
            <w:vAlign w:val="center"/>
          </w:tcPr>
          <w:p w14:paraId="3CE6E591" w14:textId="77777777" w:rsidR="005F52AE" w:rsidRDefault="005F52AE">
            <w:pPr>
              <w:pStyle w:val="ChapterBody"/>
              <w:numPr>
                <w:ilvl w:val="0"/>
                <w:numId w:val="0"/>
              </w:numPr>
              <w:spacing w:before="60" w:after="60"/>
              <w:jc w:val="center"/>
            </w:pPr>
            <w:r>
              <w:t>NSW Department of Climate Change, Energy, the Environment and Water</w:t>
            </w:r>
          </w:p>
        </w:tc>
        <w:tc>
          <w:tcPr>
            <w:tcW w:w="2268" w:type="dxa"/>
            <w:tcBorders>
              <w:bottom w:val="single" w:sz="8" w:space="0" w:color="auto"/>
            </w:tcBorders>
            <w:vAlign w:val="center"/>
          </w:tcPr>
          <w:p w14:paraId="0101C72B" w14:textId="77777777" w:rsidR="005F52AE" w:rsidRDefault="005F52AE">
            <w:pPr>
              <w:pStyle w:val="ChapterBody"/>
              <w:numPr>
                <w:ilvl w:val="0"/>
                <w:numId w:val="0"/>
              </w:numPr>
              <w:spacing w:before="60" w:after="60"/>
              <w:jc w:val="center"/>
            </w:pPr>
            <w:r>
              <w:t>Primary Industries Productivity and Abatement Program (PIPAP) (2022)</w:t>
            </w:r>
          </w:p>
        </w:tc>
        <w:tc>
          <w:tcPr>
            <w:tcW w:w="4526" w:type="dxa"/>
            <w:tcBorders>
              <w:bottom w:val="single" w:sz="8" w:space="0" w:color="auto"/>
            </w:tcBorders>
            <w:vAlign w:val="center"/>
          </w:tcPr>
          <w:p w14:paraId="3C4267C8" w14:textId="77777777" w:rsidR="005F52AE" w:rsidRDefault="005F52AE" w:rsidP="005F52AE">
            <w:pPr>
              <w:pStyle w:val="ChapterBody"/>
              <w:numPr>
                <w:ilvl w:val="0"/>
                <w:numId w:val="24"/>
              </w:numPr>
              <w:spacing w:before="60" w:after="60"/>
              <w:jc w:val="center"/>
            </w:pPr>
            <w:r>
              <w:t>NSW Net Zero Plan Stage 1: 2020-2030</w:t>
            </w:r>
          </w:p>
          <w:p w14:paraId="5A942F1C" w14:textId="77777777" w:rsidR="005F52AE" w:rsidRDefault="005F52AE" w:rsidP="005F52AE">
            <w:pPr>
              <w:pStyle w:val="ChapterBody"/>
              <w:numPr>
                <w:ilvl w:val="0"/>
                <w:numId w:val="24"/>
              </w:numPr>
              <w:spacing w:before="60" w:after="60"/>
              <w:jc w:val="center"/>
            </w:pPr>
            <w:r w:rsidRPr="006D131D">
              <w:t>NSW Land and Primary Industries Emissions Reduction Roadmap</w:t>
            </w:r>
          </w:p>
        </w:tc>
      </w:tr>
    </w:tbl>
    <w:p w14:paraId="0F48F9CC" w14:textId="77777777" w:rsidR="005F52AE" w:rsidRPr="0040043A" w:rsidRDefault="005F52AE">
      <w:pPr>
        <w:pStyle w:val="TableSource"/>
        <w:spacing w:before="120"/>
      </w:pPr>
      <w:r>
        <w:t xml:space="preserve">Source: </w:t>
      </w:r>
      <w:r w:rsidRPr="0040043A">
        <w:t xml:space="preserve">Net Zero Commission (NSW), </w:t>
      </w:r>
      <w:r w:rsidRPr="0040043A">
        <w:rPr>
          <w:iCs/>
        </w:rPr>
        <w:t>2024 Annual Report</w:t>
      </w:r>
      <w:r>
        <w:t xml:space="preserve"> </w:t>
      </w:r>
      <w:r>
        <w:rPr>
          <w:i w:val="0"/>
          <w:iCs/>
        </w:rPr>
        <w:t>(</w:t>
      </w:r>
      <w:r w:rsidRPr="0040043A">
        <w:t>2024</w:t>
      </w:r>
      <w:r>
        <w:t>)</w:t>
      </w:r>
      <w:r w:rsidRPr="0040043A">
        <w:t>, p</w:t>
      </w:r>
      <w:r>
        <w:t>p</w:t>
      </w:r>
      <w:r w:rsidRPr="0040043A">
        <w:t xml:space="preserve"> 3</w:t>
      </w:r>
      <w:r>
        <w:t>1-32</w:t>
      </w:r>
      <w:r w:rsidRPr="0040043A">
        <w:t>.</w:t>
      </w:r>
    </w:p>
    <w:p w14:paraId="7DA3C96B" w14:textId="58424CD1" w:rsidR="005F52AE" w:rsidRPr="007E3125" w:rsidRDefault="005F52AE" w:rsidP="005F52AE">
      <w:pPr>
        <w:pStyle w:val="ChapterBody"/>
        <w:numPr>
          <w:ilvl w:val="1"/>
          <w:numId w:val="5"/>
        </w:numPr>
        <w:ind w:left="850" w:hanging="850"/>
      </w:pPr>
      <w:r>
        <w:t>In response to questions from the committee, Dr Georgina Woods, Head of Research and Investigations, Lock the Gate Alliance noted the challenge of reducing emissions from agriculture, ‘because agriculture is a very diffused source’.</w:t>
      </w:r>
      <w:r w:rsidR="00855F2E">
        <w:rPr>
          <w:rFonts w:ascii="ZWAdobeF" w:hAnsi="ZWAdobeF" w:cs="ZWAdobeF"/>
          <w:sz w:val="2"/>
          <w:szCs w:val="2"/>
        </w:rPr>
        <w:t>89F</w:t>
      </w:r>
      <w:r>
        <w:rPr>
          <w:rStyle w:val="FootnoteReference"/>
        </w:rPr>
        <w:footnoteReference w:id="92"/>
      </w:r>
      <w:r>
        <w:t xml:space="preserve"> Dr Woods said that while ‘agriculture has done a lot of work’, it has not achieved ‘great emissions reduction’, and suggested there may therefore be value in the government shifting its focus to the industrial sectors.</w:t>
      </w:r>
      <w:r w:rsidR="00855F2E">
        <w:rPr>
          <w:rFonts w:ascii="ZWAdobeF" w:hAnsi="ZWAdobeF" w:cs="ZWAdobeF"/>
          <w:sz w:val="2"/>
          <w:szCs w:val="2"/>
        </w:rPr>
        <w:t>90F</w:t>
      </w:r>
      <w:r>
        <w:rPr>
          <w:rStyle w:val="FootnoteReference"/>
        </w:rPr>
        <w:footnoteReference w:id="93"/>
      </w:r>
    </w:p>
    <w:p w14:paraId="0F731B90" w14:textId="77777777" w:rsidR="005F52AE" w:rsidRDefault="005F52AE" w:rsidP="00AF2C91">
      <w:pPr>
        <w:pStyle w:val="ChapterHeadingTwo"/>
      </w:pPr>
      <w:bookmarkStart w:id="63" w:name="_Toc194052253"/>
      <w:r>
        <w:lastRenderedPageBreak/>
        <w:t>Industry and waste sector</w:t>
      </w:r>
      <w:bookmarkEnd w:id="63"/>
    </w:p>
    <w:p w14:paraId="4DF5295F" w14:textId="3B16929E" w:rsidR="005F52AE" w:rsidRDefault="005F52AE" w:rsidP="005F52AE">
      <w:pPr>
        <w:pStyle w:val="ChapterBody"/>
        <w:numPr>
          <w:ilvl w:val="1"/>
          <w:numId w:val="5"/>
        </w:numPr>
        <w:ind w:left="850" w:hanging="850"/>
      </w:pPr>
      <w:r>
        <w:t xml:space="preserve">The Net Zero Commission </w:t>
      </w:r>
      <w:r w:rsidR="007F63E4">
        <w:t xml:space="preserve">noted an </w:t>
      </w:r>
      <w:r>
        <w:t>estimated 26 per cent reduction in emissions across the industry and waste sectors between 2005 and 2022.</w:t>
      </w:r>
      <w:r w:rsidR="00855F2E">
        <w:rPr>
          <w:rFonts w:ascii="ZWAdobeF" w:hAnsi="ZWAdobeF" w:cs="ZWAdobeF"/>
          <w:sz w:val="2"/>
          <w:szCs w:val="2"/>
        </w:rPr>
        <w:t>91F</w:t>
      </w:r>
      <w:r>
        <w:rPr>
          <w:rStyle w:val="FootnoteReference"/>
        </w:rPr>
        <w:footnoteReference w:id="94"/>
      </w:r>
    </w:p>
    <w:p w14:paraId="5140F4FB" w14:textId="207E69FE" w:rsidR="005F52AE" w:rsidRDefault="005F52AE" w:rsidP="005F52AE">
      <w:pPr>
        <w:pStyle w:val="ChapterBody"/>
        <w:numPr>
          <w:ilvl w:val="1"/>
          <w:numId w:val="5"/>
        </w:numPr>
        <w:ind w:left="850" w:hanging="850"/>
      </w:pPr>
      <w:r>
        <w:t>The commission noted that the emissions reductions from heavy industries can largely be attributed to an overall decline in industrial production, such as the closure of a blast furnace in Port Kembla in 2011, rather than by the adoption of emissions abatement options.</w:t>
      </w:r>
      <w:r w:rsidR="00855F2E">
        <w:rPr>
          <w:rFonts w:ascii="ZWAdobeF" w:hAnsi="ZWAdobeF" w:cs="ZWAdobeF"/>
          <w:sz w:val="2"/>
          <w:szCs w:val="2"/>
        </w:rPr>
        <w:t>92F</w:t>
      </w:r>
      <w:r>
        <w:rPr>
          <w:rStyle w:val="FootnoteReference"/>
        </w:rPr>
        <w:footnoteReference w:id="95"/>
      </w:r>
    </w:p>
    <w:p w14:paraId="4403285C" w14:textId="3AEF4157" w:rsidR="005F52AE" w:rsidRDefault="005F52AE" w:rsidP="005F52AE">
      <w:pPr>
        <w:pStyle w:val="ChapterBody"/>
        <w:numPr>
          <w:ilvl w:val="1"/>
          <w:numId w:val="5"/>
        </w:numPr>
        <w:ind w:left="850" w:hanging="850"/>
      </w:pPr>
      <w:r>
        <w:t>The Australian Industry Group commented on the opportunities for industrial processes like steel production to move towards net zero. Mr Tennant Reed, Director, Climate Change and Energy at Australian Industry Group, explained there are ‘pathways’ for producing steel with near-zero emissions, either using hydrogen or molten oxide electrolysis.</w:t>
      </w:r>
      <w:r w:rsidR="00855F2E">
        <w:rPr>
          <w:rFonts w:ascii="ZWAdobeF" w:hAnsi="ZWAdobeF" w:cs="ZWAdobeF"/>
          <w:sz w:val="2"/>
          <w:szCs w:val="2"/>
        </w:rPr>
        <w:t>93F</w:t>
      </w:r>
      <w:r>
        <w:rPr>
          <w:rStyle w:val="FootnoteReference"/>
        </w:rPr>
        <w:footnoteReference w:id="96"/>
      </w:r>
      <w:r>
        <w:t xml:space="preserve"> Mr Reed explained that ‘both of those processes currently look expensive compared to using coking coal’ and although there will be innovation and improvement, in the long term will still </w:t>
      </w:r>
      <w:r w:rsidR="00E56AC0">
        <w:t>likely bear a</w:t>
      </w:r>
      <w:r>
        <w:t xml:space="preserve"> cost premium of perhaps ‘10 to 15 per cent’.</w:t>
      </w:r>
      <w:r w:rsidR="00855F2E">
        <w:rPr>
          <w:rFonts w:ascii="ZWAdobeF" w:hAnsi="ZWAdobeF" w:cs="ZWAdobeF"/>
          <w:sz w:val="2"/>
          <w:szCs w:val="2"/>
        </w:rPr>
        <w:t>94F</w:t>
      </w:r>
      <w:r>
        <w:rPr>
          <w:rStyle w:val="FootnoteReference"/>
        </w:rPr>
        <w:footnoteReference w:id="97"/>
      </w:r>
      <w:r>
        <w:t xml:space="preserve"> Mr Reed suggested that in order to move the industry to net zero with that in mind, voluntary demand, government procurement, changing standards, and price instruments would all play a role, and if implemented may ‘level the playing field over time between high carbon and cleaner production’.</w:t>
      </w:r>
      <w:r w:rsidR="00855F2E">
        <w:rPr>
          <w:rFonts w:ascii="ZWAdobeF" w:hAnsi="ZWAdobeF" w:cs="ZWAdobeF"/>
          <w:sz w:val="2"/>
          <w:szCs w:val="2"/>
        </w:rPr>
        <w:t>95F</w:t>
      </w:r>
      <w:r>
        <w:rPr>
          <w:rStyle w:val="FootnoteReference"/>
        </w:rPr>
        <w:footnoteReference w:id="98"/>
      </w:r>
      <w:r>
        <w:t xml:space="preserve"> </w:t>
      </w:r>
    </w:p>
    <w:p w14:paraId="48302FD5" w14:textId="25DD4FB9" w:rsidR="005F52AE" w:rsidRDefault="005F52AE" w:rsidP="005F52AE">
      <w:pPr>
        <w:pStyle w:val="ChapterBody"/>
        <w:numPr>
          <w:ilvl w:val="1"/>
          <w:numId w:val="5"/>
        </w:numPr>
        <w:ind w:left="850" w:hanging="850"/>
      </w:pPr>
      <w:r>
        <w:t>Regarding the waste sector, the commission observed that it has reduced emissions by capturing emissions from landfill, which may have further capacity for emissions reduction, along with similar opportunities to reduce emissions by diverting organics from landfill or reducing waste altogether.</w:t>
      </w:r>
      <w:r w:rsidR="00855F2E">
        <w:rPr>
          <w:rFonts w:ascii="ZWAdobeF" w:hAnsi="ZWAdobeF" w:cs="ZWAdobeF"/>
          <w:sz w:val="2"/>
          <w:szCs w:val="2"/>
        </w:rPr>
        <w:t>96F</w:t>
      </w:r>
      <w:r>
        <w:rPr>
          <w:rStyle w:val="FootnoteReference"/>
        </w:rPr>
        <w:footnoteReference w:id="99"/>
      </w:r>
      <w:r>
        <w:t xml:space="preserve"> </w:t>
      </w:r>
    </w:p>
    <w:p w14:paraId="7BA7D31F" w14:textId="364821B5" w:rsidR="005F52AE" w:rsidRDefault="005F52AE" w:rsidP="005F52AE">
      <w:pPr>
        <w:pStyle w:val="ChapterBody"/>
        <w:numPr>
          <w:ilvl w:val="1"/>
          <w:numId w:val="5"/>
        </w:numPr>
        <w:ind w:left="850" w:hanging="850"/>
      </w:pPr>
      <w:r>
        <w:t xml:space="preserve">The </w:t>
      </w:r>
      <w:r w:rsidRPr="00FC3B11">
        <w:t>National Environmental Law Association</w:t>
      </w:r>
      <w:r w:rsidDel="00CD2B72">
        <w:t xml:space="preserve"> </w:t>
      </w:r>
      <w:r>
        <w:t>suggested a mix of policy and technology development may be required to increase diversion of organic wastes from landfill (where it is a source of methane) and promote retrofitting or replacement of large-scale industrial infrastructure (such as iron and aluminium production, or other high temperature processes).</w:t>
      </w:r>
      <w:r w:rsidR="00855F2E">
        <w:rPr>
          <w:rFonts w:ascii="ZWAdobeF" w:hAnsi="ZWAdobeF" w:cs="ZWAdobeF"/>
          <w:sz w:val="2"/>
          <w:szCs w:val="2"/>
        </w:rPr>
        <w:t>97F</w:t>
      </w:r>
      <w:r>
        <w:rPr>
          <w:rStyle w:val="FootnoteReference"/>
        </w:rPr>
        <w:footnoteReference w:id="100"/>
      </w:r>
    </w:p>
    <w:p w14:paraId="705B36CF" w14:textId="77777777" w:rsidR="005F52AE" w:rsidRDefault="005F52AE" w:rsidP="00AF2C91">
      <w:pPr>
        <w:pStyle w:val="ChapterHeadingTwo"/>
      </w:pPr>
      <w:bookmarkStart w:id="64" w:name="_Toc194052254"/>
      <w:r>
        <w:t>Resources sector</w:t>
      </w:r>
      <w:bookmarkEnd w:id="64"/>
    </w:p>
    <w:p w14:paraId="7652886D" w14:textId="6952C06F" w:rsidR="005F52AE" w:rsidRDefault="005F52AE" w:rsidP="005F52AE">
      <w:pPr>
        <w:pStyle w:val="ChapterBody"/>
        <w:numPr>
          <w:ilvl w:val="1"/>
          <w:numId w:val="5"/>
        </w:numPr>
        <w:ind w:left="850" w:hanging="850"/>
      </w:pPr>
      <w:r>
        <w:t xml:space="preserve">The commission noted that </w:t>
      </w:r>
      <w:r w:rsidR="003F78B1">
        <w:t>largely due to the closure of several ‘gassy’ underground coal mines</w:t>
      </w:r>
      <w:r w:rsidR="00B15E21">
        <w:t>,</w:t>
      </w:r>
      <w:r w:rsidR="003F78B1">
        <w:t xml:space="preserve"> </w:t>
      </w:r>
      <w:r>
        <w:t>there has been a 34 per cent decline in ‘direct emissions’ from the resources sector since 2005, but that there is a risk of increased emissions due to a ‘sizeable pipeline’ of coal mine extension and expansion projects.</w:t>
      </w:r>
      <w:r w:rsidR="00855F2E">
        <w:rPr>
          <w:rFonts w:ascii="ZWAdobeF" w:hAnsi="ZWAdobeF" w:cs="ZWAdobeF"/>
          <w:sz w:val="2"/>
          <w:szCs w:val="2"/>
        </w:rPr>
        <w:t>98F</w:t>
      </w:r>
      <w:r>
        <w:rPr>
          <w:rStyle w:val="FootnoteReference"/>
        </w:rPr>
        <w:footnoteReference w:id="101"/>
      </w:r>
    </w:p>
    <w:p w14:paraId="5748A6B9" w14:textId="63D7CB52" w:rsidR="005F52AE" w:rsidRDefault="005F52AE" w:rsidP="005F52AE">
      <w:pPr>
        <w:pStyle w:val="ChapterBody"/>
        <w:numPr>
          <w:ilvl w:val="1"/>
          <w:numId w:val="5"/>
        </w:numPr>
        <w:ind w:left="850" w:hanging="850"/>
      </w:pPr>
      <w:r>
        <w:lastRenderedPageBreak/>
        <w:t>Many submissions reflected the commission’s concerns about the pipeline of coal projects, the subsequent emissions over the decades to follow and the contradiction any approvals would have to the legislated emissions reduction goals.</w:t>
      </w:r>
      <w:r w:rsidR="00855F2E">
        <w:rPr>
          <w:rFonts w:ascii="ZWAdobeF" w:hAnsi="ZWAdobeF" w:cs="ZWAdobeF"/>
          <w:sz w:val="2"/>
          <w:szCs w:val="2"/>
        </w:rPr>
        <w:t>99F</w:t>
      </w:r>
      <w:r>
        <w:rPr>
          <w:rStyle w:val="FootnoteReference"/>
        </w:rPr>
        <w:footnoteReference w:id="102"/>
      </w:r>
    </w:p>
    <w:p w14:paraId="1930DB0E" w14:textId="68A0077E" w:rsidR="005F52AE" w:rsidRDefault="005F52AE" w:rsidP="005F52AE">
      <w:pPr>
        <w:pStyle w:val="ChapterBody"/>
        <w:numPr>
          <w:ilvl w:val="1"/>
          <w:numId w:val="5"/>
        </w:numPr>
        <w:ind w:left="850" w:hanging="850"/>
      </w:pPr>
      <w:r>
        <w:t>The Institute for Energy Economics and Financial Analysis noted that coal mining in New South Wales may present particular risks for emissions reduction, as a producer of largely thermal coal, for export, with limited understanding of, or controls on, fugitive methane emissions.</w:t>
      </w:r>
      <w:r w:rsidR="00855F2E">
        <w:rPr>
          <w:rFonts w:ascii="ZWAdobeF" w:hAnsi="ZWAdobeF" w:cs="ZWAdobeF"/>
          <w:sz w:val="2"/>
          <w:szCs w:val="2"/>
        </w:rPr>
        <w:t>100F</w:t>
      </w:r>
      <w:r>
        <w:rPr>
          <w:rStyle w:val="FootnoteReference"/>
        </w:rPr>
        <w:footnoteReference w:id="103"/>
      </w:r>
      <w:r>
        <w:t xml:space="preserve"> </w:t>
      </w:r>
    </w:p>
    <w:p w14:paraId="02506562" w14:textId="5E4C4C88" w:rsidR="005F52AE" w:rsidRDefault="005F52AE" w:rsidP="005F52AE">
      <w:pPr>
        <w:pStyle w:val="ChapterBody"/>
        <w:numPr>
          <w:ilvl w:val="1"/>
          <w:numId w:val="5"/>
        </w:numPr>
        <w:ind w:left="850" w:hanging="850"/>
      </w:pPr>
      <w:r>
        <w:t xml:space="preserve">Lock the Gate Alliance NSW expressed concern that 21 coal mine expansions are proposed in </w:t>
      </w:r>
      <w:proofErr w:type="gramStart"/>
      <w:r>
        <w:t>New South Wales, and</w:t>
      </w:r>
      <w:proofErr w:type="gramEnd"/>
      <w:r>
        <w:t xml:space="preserve"> put the view that miners may be ‘banking’ approvals for expansions that may not begin until the 2030s.</w:t>
      </w:r>
      <w:r w:rsidR="00855F2E">
        <w:rPr>
          <w:rFonts w:ascii="ZWAdobeF" w:hAnsi="ZWAdobeF" w:cs="ZWAdobeF"/>
          <w:sz w:val="2"/>
          <w:szCs w:val="2"/>
        </w:rPr>
        <w:t>101F</w:t>
      </w:r>
      <w:r>
        <w:rPr>
          <w:rStyle w:val="FootnoteReference"/>
        </w:rPr>
        <w:footnoteReference w:id="104"/>
      </w:r>
    </w:p>
    <w:p w14:paraId="614E040A" w14:textId="3020DC7E" w:rsidR="005F52AE" w:rsidRDefault="005F52AE" w:rsidP="005F52AE">
      <w:pPr>
        <w:pStyle w:val="ChapterBody"/>
        <w:numPr>
          <w:ilvl w:val="1"/>
          <w:numId w:val="5"/>
        </w:numPr>
        <w:ind w:left="850" w:hanging="850"/>
      </w:pPr>
      <w:r>
        <w:t>Both the commission and other stakeholders noted that the current regulatory environment for coal mine emissions (principally the Commonwealth’s Safeguard Mechanism) is permissive in relation to the use of offsets which may be reducing the impact of net zero targets on the industry and may delay true progress towards actual emissions reduction and decarbonisation.</w:t>
      </w:r>
      <w:r w:rsidR="00855F2E">
        <w:rPr>
          <w:rFonts w:ascii="ZWAdobeF" w:hAnsi="ZWAdobeF" w:cs="ZWAdobeF"/>
          <w:sz w:val="2"/>
          <w:szCs w:val="2"/>
        </w:rPr>
        <w:t>102F</w:t>
      </w:r>
      <w:r>
        <w:rPr>
          <w:rStyle w:val="FootnoteReference"/>
        </w:rPr>
        <w:footnoteReference w:id="105"/>
      </w:r>
    </w:p>
    <w:p w14:paraId="08FDF09F" w14:textId="58C904AF" w:rsidR="005F52AE" w:rsidRDefault="005F52AE" w:rsidP="005F52AE">
      <w:pPr>
        <w:pStyle w:val="ChapterBody"/>
        <w:numPr>
          <w:ilvl w:val="1"/>
          <w:numId w:val="5"/>
        </w:numPr>
        <w:ind w:left="850" w:hanging="850"/>
      </w:pPr>
      <w:r>
        <w:t>The Commonwealth’s Safeguard Mechanism regulates emissions from facilities with direct emissions of 100 kt of CO</w:t>
      </w:r>
      <w:r w:rsidRPr="001A572B">
        <w:rPr>
          <w:vertAlign w:val="subscript"/>
        </w:rPr>
        <w:t>2</w:t>
      </w:r>
      <w:r>
        <w:t xml:space="preserve"> per annum, effectively 27 of 59 coal licences in New South Wales.</w:t>
      </w:r>
      <w:r w:rsidR="00855F2E">
        <w:rPr>
          <w:rFonts w:ascii="ZWAdobeF" w:hAnsi="ZWAdobeF" w:cs="ZWAdobeF"/>
          <w:sz w:val="2"/>
          <w:szCs w:val="2"/>
        </w:rPr>
        <w:t>103F</w:t>
      </w:r>
      <w:r>
        <w:rPr>
          <w:rStyle w:val="FootnoteReference"/>
        </w:rPr>
        <w:footnoteReference w:id="106"/>
      </w:r>
      <w:r>
        <w:t xml:space="preserve"> Both the commission and contributors to the inquiry noted that under the Safeguard Mechanism, broad flexibility for coal miners to make use of offsets has reduced the incentive to invest in emissions mitigation technologies.</w:t>
      </w:r>
      <w:r w:rsidR="00855F2E">
        <w:rPr>
          <w:rFonts w:ascii="ZWAdobeF" w:hAnsi="ZWAdobeF" w:cs="ZWAdobeF"/>
          <w:sz w:val="2"/>
          <w:szCs w:val="2"/>
        </w:rPr>
        <w:t>104F</w:t>
      </w:r>
      <w:r>
        <w:rPr>
          <w:rStyle w:val="FootnoteReference"/>
        </w:rPr>
        <w:footnoteReference w:id="107"/>
      </w:r>
    </w:p>
    <w:p w14:paraId="1104A6FB" w14:textId="611C25D5" w:rsidR="005F52AE" w:rsidRDefault="005F52AE" w:rsidP="005F52AE">
      <w:pPr>
        <w:pStyle w:val="ChapterBody"/>
        <w:numPr>
          <w:ilvl w:val="1"/>
          <w:numId w:val="5"/>
        </w:numPr>
        <w:ind w:left="850" w:hanging="850"/>
      </w:pPr>
      <w:r>
        <w:t xml:space="preserve">The Environmental </w:t>
      </w:r>
      <w:proofErr w:type="spellStart"/>
      <w:r>
        <w:t>Defense</w:t>
      </w:r>
      <w:proofErr w:type="spellEnd"/>
      <w:r>
        <w:t xml:space="preserve"> Fund (EDF) recommended the government consider requiring coal mines to install methane abatement technology such as regenerative thermal oxidisers or using a ‘performance standard or levy’ to do so, to complement the Safeguard Mechanism.</w:t>
      </w:r>
      <w:r w:rsidR="00855F2E">
        <w:rPr>
          <w:rFonts w:ascii="ZWAdobeF" w:hAnsi="ZWAdobeF" w:cs="ZWAdobeF"/>
          <w:sz w:val="2"/>
          <w:szCs w:val="2"/>
        </w:rPr>
        <w:t>105F</w:t>
      </w:r>
      <w:r>
        <w:rPr>
          <w:rStyle w:val="FootnoteReference"/>
        </w:rPr>
        <w:footnoteReference w:id="108"/>
      </w:r>
      <w:r>
        <w:t xml:space="preserve"> The EDF noted that other submissions to the inquiry provide details of the technology.</w:t>
      </w:r>
      <w:r w:rsidR="00855F2E">
        <w:rPr>
          <w:rFonts w:ascii="ZWAdobeF" w:hAnsi="ZWAdobeF" w:cs="ZWAdobeF"/>
          <w:sz w:val="2"/>
          <w:szCs w:val="2"/>
        </w:rPr>
        <w:t>106F</w:t>
      </w:r>
      <w:r>
        <w:rPr>
          <w:rStyle w:val="FootnoteReference"/>
        </w:rPr>
        <w:footnoteReference w:id="109"/>
      </w:r>
      <w:r>
        <w:t xml:space="preserve"> </w:t>
      </w:r>
    </w:p>
    <w:p w14:paraId="7A86ACE4" w14:textId="6191A4BF" w:rsidR="005F52AE" w:rsidRDefault="005F52AE" w:rsidP="005F52AE">
      <w:pPr>
        <w:pStyle w:val="ChapterBody"/>
        <w:numPr>
          <w:ilvl w:val="1"/>
          <w:numId w:val="5"/>
        </w:numPr>
        <w:ind w:left="850" w:hanging="850"/>
      </w:pPr>
      <w:r>
        <w:t>The Institute for Energy Economics and Financial Analysis provided analysis which suggests coal miners are choosing to use a method for estimating emissions that produces a low estimate of their emissions, and found that, using these low estimates, under the Safeguard Mechanism ‘</w:t>
      </w:r>
      <w:r w:rsidRPr="00732DDE">
        <w:t>most</w:t>
      </w:r>
      <w:r>
        <w:t xml:space="preserve"> [miners]</w:t>
      </w:r>
      <w:r w:rsidRPr="00732DDE">
        <w:t xml:space="preserve"> will be allowed to</w:t>
      </w:r>
      <w:r>
        <w:t xml:space="preserve"> </w:t>
      </w:r>
      <w:r w:rsidRPr="00732DDE">
        <w:t>increase emissions intensities unencumbered</w:t>
      </w:r>
      <w:r>
        <w:t>’.</w:t>
      </w:r>
      <w:r w:rsidR="00855F2E">
        <w:rPr>
          <w:rFonts w:ascii="ZWAdobeF" w:hAnsi="ZWAdobeF" w:cs="ZWAdobeF"/>
          <w:sz w:val="2"/>
          <w:szCs w:val="2"/>
        </w:rPr>
        <w:t>107F</w:t>
      </w:r>
      <w:r>
        <w:rPr>
          <w:rStyle w:val="FootnoteReference"/>
        </w:rPr>
        <w:footnoteReference w:id="110"/>
      </w:r>
    </w:p>
    <w:p w14:paraId="1BA3B27F" w14:textId="409F186A" w:rsidR="005F52AE" w:rsidRDefault="005F52AE" w:rsidP="005F52AE">
      <w:pPr>
        <w:pStyle w:val="ChapterBody"/>
        <w:numPr>
          <w:ilvl w:val="1"/>
          <w:numId w:val="5"/>
        </w:numPr>
        <w:ind w:left="850" w:hanging="850"/>
      </w:pPr>
      <w:r>
        <w:lastRenderedPageBreak/>
        <w:t>Submissions to the inquiry highlighted results from independent satellite-based datasets suggesting that methane emissions from coal mines in Australia may have been significantly under-estimated.</w:t>
      </w:r>
      <w:r w:rsidR="00855F2E">
        <w:rPr>
          <w:rFonts w:ascii="ZWAdobeF" w:hAnsi="ZWAdobeF" w:cs="ZWAdobeF"/>
          <w:sz w:val="2"/>
          <w:szCs w:val="2"/>
        </w:rPr>
        <w:t>108F</w:t>
      </w:r>
      <w:r>
        <w:rPr>
          <w:rStyle w:val="FootnoteReference"/>
        </w:rPr>
        <w:footnoteReference w:id="111"/>
      </w:r>
      <w:r>
        <w:t xml:space="preserve"> </w:t>
      </w:r>
    </w:p>
    <w:p w14:paraId="72037BCA" w14:textId="500363CD" w:rsidR="005F52AE" w:rsidRDefault="005F52AE" w:rsidP="005F52AE">
      <w:pPr>
        <w:pStyle w:val="ChapterBody"/>
        <w:numPr>
          <w:ilvl w:val="1"/>
          <w:numId w:val="5"/>
        </w:numPr>
        <w:ind w:left="850" w:hanging="850"/>
      </w:pPr>
      <w:r>
        <w:t>The Superpower Institute submitted that these latest estimates suggest emissions from coal mining in Australia may be around double those recorded in the national greenhouse gas inventory, and claimed these results align with ‘monitoring work by the Australian atmospheric chemistry research community and analysis by global organisations’.</w:t>
      </w:r>
      <w:r w:rsidR="00855F2E">
        <w:rPr>
          <w:rFonts w:ascii="ZWAdobeF" w:hAnsi="ZWAdobeF" w:cs="ZWAdobeF"/>
          <w:sz w:val="2"/>
          <w:szCs w:val="2"/>
        </w:rPr>
        <w:t>109F</w:t>
      </w:r>
      <w:r>
        <w:rPr>
          <w:rStyle w:val="FootnoteReference"/>
        </w:rPr>
        <w:footnoteReference w:id="112"/>
      </w:r>
      <w:r>
        <w:t xml:space="preserve"> As such, the establishment of a national emissions monitoring network was proposed as a way to verify facility-level modelling and aggregated regional reporting.</w:t>
      </w:r>
      <w:r w:rsidR="00855F2E">
        <w:rPr>
          <w:rFonts w:ascii="ZWAdobeF" w:hAnsi="ZWAdobeF" w:cs="ZWAdobeF"/>
          <w:sz w:val="2"/>
          <w:szCs w:val="2"/>
        </w:rPr>
        <w:t>110F</w:t>
      </w:r>
      <w:r>
        <w:rPr>
          <w:rStyle w:val="FootnoteReference"/>
        </w:rPr>
        <w:footnoteReference w:id="113"/>
      </w:r>
    </w:p>
    <w:p w14:paraId="0AB0E36E" w14:textId="76FE834A" w:rsidR="005F52AE" w:rsidRDefault="005F52AE" w:rsidP="005F52AE">
      <w:pPr>
        <w:pStyle w:val="ChapterBody"/>
        <w:numPr>
          <w:ilvl w:val="1"/>
          <w:numId w:val="5"/>
        </w:numPr>
        <w:ind w:left="850" w:hanging="850"/>
      </w:pPr>
      <w:r>
        <w:t xml:space="preserve">Ember, an independent energy think tank, re-iterated the Superpower Institute’s concerns about a likely underestimation of fugitive emissions from coal mining across the state, and suggested that open-cut miners have </w:t>
      </w:r>
      <w:r w:rsidR="007A3A09">
        <w:t>reduced</w:t>
      </w:r>
      <w:r>
        <w:t xml:space="preserve"> their reported emissions by 65-70 per cent after changing their estimation methodology over the last decade.</w:t>
      </w:r>
      <w:r w:rsidR="00855F2E">
        <w:rPr>
          <w:rFonts w:ascii="ZWAdobeF" w:hAnsi="ZWAdobeF" w:cs="ZWAdobeF"/>
          <w:sz w:val="2"/>
          <w:szCs w:val="2"/>
        </w:rPr>
        <w:t>111F</w:t>
      </w:r>
      <w:r>
        <w:rPr>
          <w:rStyle w:val="FootnoteReference"/>
        </w:rPr>
        <w:footnoteReference w:id="114"/>
      </w:r>
      <w:r>
        <w:t xml:space="preserve"> Ember noted further that any such under-reporting of emissions creates ‘significant short term price risk for Australia’s carbon credit submarket, as satellite evidence becomes increasingly hard to deny’.</w:t>
      </w:r>
      <w:r w:rsidR="00855F2E">
        <w:rPr>
          <w:rFonts w:ascii="ZWAdobeF" w:hAnsi="ZWAdobeF" w:cs="ZWAdobeF"/>
          <w:sz w:val="2"/>
          <w:szCs w:val="2"/>
        </w:rPr>
        <w:t>112F</w:t>
      </w:r>
      <w:r>
        <w:rPr>
          <w:rStyle w:val="FootnoteReference"/>
        </w:rPr>
        <w:footnoteReference w:id="115"/>
      </w:r>
      <w:r>
        <w:t xml:space="preserve"> </w:t>
      </w:r>
    </w:p>
    <w:p w14:paraId="3F11ADEE" w14:textId="094B3005" w:rsidR="005F52AE" w:rsidRDefault="005F52AE" w:rsidP="005F52AE">
      <w:pPr>
        <w:pStyle w:val="ChapterBody"/>
        <w:numPr>
          <w:ilvl w:val="1"/>
          <w:numId w:val="5"/>
        </w:numPr>
        <w:ind w:left="850" w:hanging="850"/>
      </w:pPr>
      <w:r>
        <w:t>A contrasting view was put by the NSW Minerals Council who suggested the regulation of the ‘majority’ of the state’s coal industry by the Commonwealth</w:t>
      </w:r>
      <w:r w:rsidR="00005ECE">
        <w:t>’s</w:t>
      </w:r>
      <w:r>
        <w:t xml:space="preserve"> Safeguard Mechanism precludes the need for additional regulation by New South Wales.</w:t>
      </w:r>
      <w:r w:rsidR="00855F2E">
        <w:rPr>
          <w:rFonts w:ascii="ZWAdobeF" w:hAnsi="ZWAdobeF" w:cs="ZWAdobeF"/>
          <w:sz w:val="2"/>
          <w:szCs w:val="2"/>
        </w:rPr>
        <w:t>113F</w:t>
      </w:r>
      <w:r>
        <w:rPr>
          <w:rStyle w:val="FootnoteReference"/>
        </w:rPr>
        <w:footnoteReference w:id="116"/>
      </w:r>
      <w:r>
        <w:t xml:space="preserve"> It noted the recent Vogel-</w:t>
      </w:r>
      <w:proofErr w:type="spellStart"/>
      <w:r>
        <w:t>McFerran</w:t>
      </w:r>
      <w:proofErr w:type="spellEnd"/>
      <w:r>
        <w:t xml:space="preserve"> Review commissioned by the West</w:t>
      </w:r>
      <w:r w:rsidR="00005ECE">
        <w:t>ern</w:t>
      </w:r>
      <w:r>
        <w:t xml:space="preserve"> Australian Government which recommended minimising ‘duplicative’ regulation where entities may be already regulated by the Safeguard Mechanism.</w:t>
      </w:r>
      <w:r w:rsidR="00855F2E">
        <w:rPr>
          <w:rFonts w:ascii="ZWAdobeF" w:hAnsi="ZWAdobeF" w:cs="ZWAdobeF"/>
          <w:sz w:val="2"/>
          <w:szCs w:val="2"/>
        </w:rPr>
        <w:t>114F</w:t>
      </w:r>
      <w:r>
        <w:rPr>
          <w:rStyle w:val="FootnoteReference"/>
        </w:rPr>
        <w:footnoteReference w:id="117"/>
      </w:r>
    </w:p>
    <w:p w14:paraId="244A5B6E" w14:textId="23F4E5DC" w:rsidR="005F52AE" w:rsidRDefault="005F52AE" w:rsidP="005F52AE">
      <w:pPr>
        <w:pStyle w:val="ChapterBody"/>
        <w:numPr>
          <w:ilvl w:val="1"/>
          <w:numId w:val="5"/>
        </w:numPr>
        <w:ind w:left="850" w:hanging="850"/>
      </w:pPr>
      <w:r>
        <w:t>The current examination of coal mine emissions by the commission is focused on direct emissions (also known as ‘fugitive’ or ‘scope 1’ emissions). Stakeholders put forward the view to the committee that ‘downstream’ (also known as scope 2) emissions should be considered in the planning approval process,</w:t>
      </w:r>
      <w:r w:rsidR="00855F2E">
        <w:rPr>
          <w:rFonts w:ascii="ZWAdobeF" w:hAnsi="ZWAdobeF" w:cs="ZWAdobeF"/>
          <w:sz w:val="2"/>
          <w:szCs w:val="2"/>
        </w:rPr>
        <w:t>115F</w:t>
      </w:r>
      <w:r>
        <w:rPr>
          <w:rStyle w:val="FootnoteReference"/>
        </w:rPr>
        <w:footnoteReference w:id="118"/>
      </w:r>
      <w:r>
        <w:t xml:space="preserve"> observing that indirect emissions do still have ‘a significant and deleterious’ impact on the New South Wales population and environment.</w:t>
      </w:r>
      <w:r w:rsidR="00855F2E">
        <w:rPr>
          <w:rFonts w:ascii="ZWAdobeF" w:hAnsi="ZWAdobeF" w:cs="ZWAdobeF"/>
          <w:sz w:val="2"/>
          <w:szCs w:val="2"/>
        </w:rPr>
        <w:t>116F</w:t>
      </w:r>
      <w:r>
        <w:rPr>
          <w:rStyle w:val="FootnoteReference"/>
        </w:rPr>
        <w:footnoteReference w:id="119"/>
      </w:r>
    </w:p>
    <w:p w14:paraId="53A247E0" w14:textId="77777777" w:rsidR="005F52AE" w:rsidRDefault="005F52AE" w:rsidP="00AF2C91">
      <w:pPr>
        <w:pStyle w:val="ChapterHeadingTwo"/>
      </w:pPr>
      <w:bookmarkStart w:id="66" w:name="_Toc194052255"/>
      <w:r>
        <w:lastRenderedPageBreak/>
        <w:t>Built environment sector</w:t>
      </w:r>
      <w:bookmarkEnd w:id="66"/>
    </w:p>
    <w:p w14:paraId="13AC5011" w14:textId="0522DD9A" w:rsidR="005F52AE" w:rsidRDefault="005F52AE" w:rsidP="005F52AE">
      <w:pPr>
        <w:pStyle w:val="ChapterBody"/>
        <w:numPr>
          <w:ilvl w:val="1"/>
          <w:numId w:val="5"/>
        </w:numPr>
        <w:ind w:left="850" w:hanging="850"/>
      </w:pPr>
      <w:r>
        <w:t>The Net Zero Commission noted in the 2024 annual report that emissions from the built environment sector increased by 91 per cent between 2005 and 2022, and that these are predominantly from use of onsite fossil fuels in homes and buildings, mostly gas and diesel fuel.</w:t>
      </w:r>
      <w:r w:rsidR="00855F2E">
        <w:rPr>
          <w:rFonts w:ascii="ZWAdobeF" w:hAnsi="ZWAdobeF" w:cs="ZWAdobeF"/>
          <w:sz w:val="2"/>
          <w:szCs w:val="2"/>
        </w:rPr>
        <w:t>117F</w:t>
      </w:r>
      <w:r>
        <w:rPr>
          <w:rStyle w:val="FootnoteReference"/>
        </w:rPr>
        <w:footnoteReference w:id="120"/>
      </w:r>
    </w:p>
    <w:p w14:paraId="54886109" w14:textId="259C04A9" w:rsidR="005F52AE" w:rsidRDefault="005F52AE" w:rsidP="005F52AE">
      <w:pPr>
        <w:pStyle w:val="ChapterBody"/>
        <w:numPr>
          <w:ilvl w:val="1"/>
          <w:numId w:val="5"/>
        </w:numPr>
        <w:ind w:left="850" w:hanging="850"/>
      </w:pPr>
      <w:r>
        <w:t>The Property Council of Australia noted that buildings account for 50 per cent of Australia’s electricity use and 23 per cent of all emissions and is therefore essential to meeting emissions reduction goals.</w:t>
      </w:r>
      <w:r w:rsidR="00855F2E">
        <w:rPr>
          <w:rFonts w:ascii="ZWAdobeF" w:hAnsi="ZWAdobeF" w:cs="ZWAdobeF"/>
          <w:sz w:val="2"/>
          <w:szCs w:val="2"/>
        </w:rPr>
        <w:t>118F</w:t>
      </w:r>
      <w:r>
        <w:rPr>
          <w:rStyle w:val="FootnoteReference"/>
        </w:rPr>
        <w:footnoteReference w:id="121"/>
      </w:r>
    </w:p>
    <w:p w14:paraId="0EFF6D57" w14:textId="1244BDE1" w:rsidR="005F52AE" w:rsidRDefault="005F52AE" w:rsidP="005F52AE">
      <w:pPr>
        <w:pStyle w:val="ChapterBody"/>
        <w:numPr>
          <w:ilvl w:val="1"/>
          <w:numId w:val="5"/>
        </w:numPr>
        <w:ind w:left="850" w:hanging="850"/>
      </w:pPr>
      <w:r>
        <w:t>The Property Council of Australia provided in their submission to the inquiry a copy of the 2023 report titled ‘Every Building Counts’, jointly prepared with the Green Building Council of Australia, which provides a collection of policy recommendations to decarbonise the property sector.</w:t>
      </w:r>
      <w:r w:rsidR="00855F2E">
        <w:rPr>
          <w:rFonts w:ascii="ZWAdobeF" w:hAnsi="ZWAdobeF" w:cs="ZWAdobeF"/>
          <w:sz w:val="2"/>
          <w:szCs w:val="2"/>
        </w:rPr>
        <w:t>119F</w:t>
      </w:r>
      <w:r>
        <w:rPr>
          <w:rStyle w:val="FootnoteReference"/>
        </w:rPr>
        <w:footnoteReference w:id="122"/>
      </w:r>
      <w:r>
        <w:t xml:space="preserve"> This report recommends the development of energy ratings for homes that could be disclosed at point of sale or lease, providing buyers or renters information on energy efficiency before making the decision to purchase or rent a property,</w:t>
      </w:r>
      <w:r w:rsidR="00855F2E">
        <w:rPr>
          <w:rFonts w:ascii="ZWAdobeF" w:hAnsi="ZWAdobeF" w:cs="ZWAdobeF"/>
          <w:sz w:val="2"/>
          <w:szCs w:val="2"/>
        </w:rPr>
        <w:t>120F</w:t>
      </w:r>
      <w:r>
        <w:rPr>
          <w:rStyle w:val="FootnoteReference"/>
        </w:rPr>
        <w:footnoteReference w:id="123"/>
      </w:r>
      <w:r>
        <w:t xml:space="preserve"> which was a recommendation supported by other stakeholders</w:t>
      </w:r>
      <w:r w:rsidR="00855F2E">
        <w:rPr>
          <w:rFonts w:ascii="ZWAdobeF" w:hAnsi="ZWAdobeF" w:cs="ZWAdobeF"/>
          <w:sz w:val="2"/>
          <w:szCs w:val="2"/>
        </w:rPr>
        <w:t>121F</w:t>
      </w:r>
      <w:r>
        <w:rPr>
          <w:rStyle w:val="FootnoteReference"/>
        </w:rPr>
        <w:footnoteReference w:id="124"/>
      </w:r>
      <w:r>
        <w:t>.</w:t>
      </w:r>
    </w:p>
    <w:p w14:paraId="781258A0" w14:textId="723515EF" w:rsidR="005F52AE" w:rsidRDefault="005F52AE" w:rsidP="005F52AE">
      <w:pPr>
        <w:pStyle w:val="ChapterBody"/>
        <w:numPr>
          <w:ilvl w:val="1"/>
          <w:numId w:val="5"/>
        </w:numPr>
        <w:ind w:left="850" w:hanging="850"/>
      </w:pPr>
      <w:r>
        <w:t>The Green Building Council of Australia submission commended Property and Development NSW and Schools Infrastructure NSW on their ‘commitments and achievements’ to such rating systems and suggest all new government projects should have such schemes applied.</w:t>
      </w:r>
      <w:r w:rsidR="00855F2E">
        <w:rPr>
          <w:rFonts w:ascii="ZWAdobeF" w:hAnsi="ZWAdobeF" w:cs="ZWAdobeF"/>
          <w:sz w:val="2"/>
          <w:szCs w:val="2"/>
        </w:rPr>
        <w:t>122F</w:t>
      </w:r>
      <w:r>
        <w:rPr>
          <w:rStyle w:val="FootnoteReference"/>
        </w:rPr>
        <w:footnoteReference w:id="125"/>
      </w:r>
    </w:p>
    <w:p w14:paraId="72DEF0E7" w14:textId="799770AD" w:rsidR="005F52AE" w:rsidRDefault="005F52AE" w:rsidP="005F52AE">
      <w:pPr>
        <w:pStyle w:val="ChapterBody"/>
        <w:numPr>
          <w:ilvl w:val="1"/>
          <w:numId w:val="5"/>
        </w:numPr>
        <w:ind w:left="850" w:hanging="850"/>
      </w:pPr>
      <w:r>
        <w:t>The Net Zero Commission noted that a wide range of academics and industry bodies advocate policies that encourage replacement of gas appliances with all-electric technologies, a position also shared by the Climate Change Authority and ‘several jurisdictions comparable to NSW’ including the European Union, Victoria, and the ACT.</w:t>
      </w:r>
      <w:r w:rsidR="00855F2E">
        <w:rPr>
          <w:rFonts w:ascii="ZWAdobeF" w:hAnsi="ZWAdobeF" w:cs="ZWAdobeF"/>
          <w:sz w:val="2"/>
          <w:szCs w:val="2"/>
        </w:rPr>
        <w:t>123F</w:t>
      </w:r>
      <w:r>
        <w:rPr>
          <w:rStyle w:val="FootnoteReference"/>
        </w:rPr>
        <w:footnoteReference w:id="126"/>
      </w:r>
      <w:r>
        <w:t xml:space="preserve"> </w:t>
      </w:r>
    </w:p>
    <w:p w14:paraId="6DCCB4A4" w14:textId="2FB2676B" w:rsidR="005F52AE" w:rsidRDefault="005F52AE" w:rsidP="005F52AE">
      <w:pPr>
        <w:pStyle w:val="ChapterBody"/>
        <w:numPr>
          <w:ilvl w:val="1"/>
          <w:numId w:val="5"/>
        </w:numPr>
        <w:ind w:left="850" w:hanging="850"/>
      </w:pPr>
      <w:r>
        <w:t xml:space="preserve">In evidence provided to the inquiry, Doctors for the Environment </w:t>
      </w:r>
      <w:r w:rsidR="00BD7DA4">
        <w:t>Australia</w:t>
      </w:r>
      <w:r>
        <w:t xml:space="preserve"> noted that phasing out indoor gas use will have consequential benefits for public health, noting for example that ‘gas kitchen stoves are estimated to cause 12 per cent of childhood asthma in Australia’, and commended the Net Zero Commission for considerable attention given to household electrification in the 2024 annual report.</w:t>
      </w:r>
      <w:r w:rsidR="00855F2E">
        <w:rPr>
          <w:rFonts w:ascii="ZWAdobeF" w:hAnsi="ZWAdobeF" w:cs="ZWAdobeF"/>
          <w:sz w:val="2"/>
          <w:szCs w:val="2"/>
        </w:rPr>
        <w:t>124F</w:t>
      </w:r>
      <w:r>
        <w:rPr>
          <w:rStyle w:val="FootnoteReference"/>
        </w:rPr>
        <w:footnoteReference w:id="127"/>
      </w:r>
    </w:p>
    <w:p w14:paraId="613AF8FA" w14:textId="77777777" w:rsidR="005F52AE" w:rsidRDefault="005F52AE" w:rsidP="005F52AE">
      <w:pPr>
        <w:pStyle w:val="ChapterBody"/>
        <w:numPr>
          <w:ilvl w:val="1"/>
          <w:numId w:val="5"/>
        </w:numPr>
        <w:ind w:left="850" w:hanging="850"/>
      </w:pPr>
      <w:r>
        <w:t xml:space="preserve"> The Property Council of Australia also supported electrification, and specifically proposed:</w:t>
      </w:r>
    </w:p>
    <w:p w14:paraId="2E6E8356" w14:textId="77777777" w:rsidR="005F52AE" w:rsidRDefault="005F52AE" w:rsidP="005F52AE">
      <w:pPr>
        <w:pStyle w:val="ChapterBullet"/>
        <w:numPr>
          <w:ilvl w:val="0"/>
          <w:numId w:val="3"/>
        </w:numPr>
      </w:pPr>
      <w:r>
        <w:t xml:space="preserve">disallowing new gas connections in the National Construction Code 2025 </w:t>
      </w:r>
    </w:p>
    <w:p w14:paraId="60B13F06" w14:textId="77777777" w:rsidR="005F52AE" w:rsidRDefault="005F52AE" w:rsidP="005F52AE">
      <w:pPr>
        <w:pStyle w:val="ChapterBullet"/>
        <w:numPr>
          <w:ilvl w:val="0"/>
          <w:numId w:val="3"/>
        </w:numPr>
      </w:pPr>
      <w:r>
        <w:t>phasing out gas in existing buildings and appliances</w:t>
      </w:r>
    </w:p>
    <w:p w14:paraId="0ACBBFA5" w14:textId="77777777" w:rsidR="005F52AE" w:rsidRDefault="005F52AE" w:rsidP="005F52AE">
      <w:pPr>
        <w:pStyle w:val="ChapterBullet"/>
        <w:numPr>
          <w:ilvl w:val="0"/>
          <w:numId w:val="3"/>
        </w:numPr>
      </w:pPr>
      <w:r>
        <w:lastRenderedPageBreak/>
        <w:t>establishing incentives for retrofitting existing buildings</w:t>
      </w:r>
    </w:p>
    <w:p w14:paraId="4583D716" w14:textId="77777777" w:rsidR="005F52AE" w:rsidRDefault="005F52AE" w:rsidP="005F52AE">
      <w:pPr>
        <w:pStyle w:val="ChapterBullet"/>
        <w:numPr>
          <w:ilvl w:val="0"/>
          <w:numId w:val="3"/>
        </w:numPr>
      </w:pPr>
      <w:r>
        <w:t>development of the skilled workforce to support electrification</w:t>
      </w:r>
    </w:p>
    <w:p w14:paraId="6DDF3F08" w14:textId="1234AD49" w:rsidR="005F52AE" w:rsidRDefault="005F52AE" w:rsidP="005F52AE">
      <w:pPr>
        <w:pStyle w:val="ChapterBullet"/>
        <w:numPr>
          <w:ilvl w:val="0"/>
          <w:numId w:val="3"/>
        </w:numPr>
      </w:pPr>
      <w:r>
        <w:t>supporting local manufacturing in electric technologies.</w:t>
      </w:r>
      <w:r w:rsidR="00855F2E">
        <w:rPr>
          <w:rFonts w:ascii="ZWAdobeF" w:hAnsi="ZWAdobeF" w:cs="ZWAdobeF"/>
          <w:sz w:val="2"/>
          <w:szCs w:val="2"/>
        </w:rPr>
        <w:t>125F</w:t>
      </w:r>
      <w:r>
        <w:rPr>
          <w:rStyle w:val="FootnoteReference"/>
        </w:rPr>
        <w:footnoteReference w:id="128"/>
      </w:r>
    </w:p>
    <w:p w14:paraId="28820028" w14:textId="09E893DA" w:rsidR="005F52AE" w:rsidRDefault="005F52AE" w:rsidP="005F52AE">
      <w:pPr>
        <w:pStyle w:val="ChapterBody"/>
        <w:numPr>
          <w:ilvl w:val="1"/>
          <w:numId w:val="5"/>
        </w:numPr>
        <w:ind w:left="850" w:hanging="850"/>
      </w:pPr>
      <w:r>
        <w:t>Phasing out of gas appliances in homes and buildings was widely supported by a number of submissions to the inquiry.</w:t>
      </w:r>
      <w:r w:rsidR="00855F2E">
        <w:rPr>
          <w:rFonts w:ascii="ZWAdobeF" w:hAnsi="ZWAdobeF" w:cs="ZWAdobeF"/>
          <w:sz w:val="2"/>
          <w:szCs w:val="2"/>
        </w:rPr>
        <w:t>126F</w:t>
      </w:r>
      <w:r>
        <w:rPr>
          <w:rStyle w:val="FootnoteReference"/>
        </w:rPr>
        <w:footnoteReference w:id="129"/>
      </w:r>
    </w:p>
    <w:p w14:paraId="1E4CC7E3" w14:textId="3D38D9A6" w:rsidR="005F52AE" w:rsidRDefault="005F52AE" w:rsidP="005F52AE">
      <w:pPr>
        <w:pStyle w:val="ChapterBody"/>
        <w:numPr>
          <w:ilvl w:val="1"/>
          <w:numId w:val="5"/>
        </w:numPr>
        <w:ind w:left="850" w:hanging="850"/>
      </w:pPr>
      <w:r>
        <w:t xml:space="preserve">Ms Francesca </w:t>
      </w:r>
      <w:proofErr w:type="spellStart"/>
      <w:r>
        <w:t>Mus</w:t>
      </w:r>
      <w:r w:rsidR="00BD7DA4">
        <w:t>k</w:t>
      </w:r>
      <w:r>
        <w:t>ovic</w:t>
      </w:r>
      <w:proofErr w:type="spellEnd"/>
      <w:r>
        <w:t xml:space="preserve">, National Policy Director, Property Council of Australia told the committee that due to the long </w:t>
      </w:r>
      <w:proofErr w:type="gramStart"/>
      <w:r>
        <w:t>life-cycle</w:t>
      </w:r>
      <w:proofErr w:type="gramEnd"/>
      <w:r>
        <w:t xml:space="preserve"> of the built environment, acting now to prevent new gas connections will save costs in the long run:</w:t>
      </w:r>
    </w:p>
    <w:p w14:paraId="029D22A4" w14:textId="3A7CCCDD" w:rsidR="005F52AE" w:rsidRDefault="005F52AE">
      <w:pPr>
        <w:pStyle w:val="ChapterQuotation"/>
      </w:pPr>
      <w:r>
        <w:t>Every new building built today with fossil gas is one that's going to need to be electrified in future at a greater cost, and New South Wales really doesn't have any of the policy in place to act with a response on that … At a minimum, New South Wales should ban the connection of fossil gas to new homes</w:t>
      </w:r>
      <w:r w:rsidR="00855F2E">
        <w:rPr>
          <w:rFonts w:ascii="ZWAdobeF" w:hAnsi="ZWAdobeF" w:cs="ZWAdobeF"/>
          <w:sz w:val="2"/>
          <w:szCs w:val="2"/>
        </w:rPr>
        <w:t>127F</w:t>
      </w:r>
      <w:r>
        <w:rPr>
          <w:rStyle w:val="FootnoteReference"/>
        </w:rPr>
        <w:footnoteReference w:id="130"/>
      </w:r>
    </w:p>
    <w:p w14:paraId="61469284" w14:textId="1177726D" w:rsidR="005F52AE" w:rsidRDefault="005F52AE" w:rsidP="005F52AE">
      <w:pPr>
        <w:pStyle w:val="ChapterBody"/>
        <w:numPr>
          <w:ilvl w:val="1"/>
          <w:numId w:val="5"/>
        </w:numPr>
        <w:ind w:left="850" w:hanging="850"/>
      </w:pPr>
      <w:r>
        <w:t>Mr Tennant Reed, Director, Climate Change and Energy, Australian Industry Group, explained that for industry, there will always be a need for process heat, currently predominantly fuelled by gas, and not all industrial processes will be suitable for electrification.</w:t>
      </w:r>
      <w:r w:rsidR="00855F2E">
        <w:rPr>
          <w:rFonts w:ascii="ZWAdobeF" w:hAnsi="ZWAdobeF" w:cs="ZWAdobeF"/>
          <w:sz w:val="2"/>
          <w:szCs w:val="2"/>
        </w:rPr>
        <w:t>128F</w:t>
      </w:r>
      <w:r>
        <w:rPr>
          <w:rStyle w:val="FootnoteReference"/>
        </w:rPr>
        <w:footnoteReference w:id="131"/>
      </w:r>
      <w:r>
        <w:t xml:space="preserve"> Mr Reed said that ‘we’re going to need to adopt more and more different alternatives over the next couple of decades’, such as biomethane or clean hydrogen, and suggested that the government can contribute via procurement practices or by lifting state or national standards to drive demand for low-emission metals and building materials.</w:t>
      </w:r>
      <w:r w:rsidR="00855F2E">
        <w:rPr>
          <w:rFonts w:ascii="ZWAdobeF" w:hAnsi="ZWAdobeF" w:cs="ZWAdobeF"/>
          <w:sz w:val="2"/>
          <w:szCs w:val="2"/>
        </w:rPr>
        <w:t>129F</w:t>
      </w:r>
      <w:r>
        <w:rPr>
          <w:rStyle w:val="FootnoteReference"/>
        </w:rPr>
        <w:footnoteReference w:id="132"/>
      </w:r>
      <w:r>
        <w:t xml:space="preserve"> </w:t>
      </w:r>
    </w:p>
    <w:p w14:paraId="6B6FC0D9" w14:textId="2E6D8B6D" w:rsidR="005F52AE" w:rsidRDefault="005F52AE" w:rsidP="005F52AE">
      <w:pPr>
        <w:pStyle w:val="ChapterBody"/>
        <w:numPr>
          <w:ilvl w:val="1"/>
          <w:numId w:val="5"/>
        </w:numPr>
        <w:ind w:left="850" w:hanging="850"/>
      </w:pPr>
      <w:r>
        <w:t>The Justice and Equity Centre made the suggestion that the government could have a stronger focus on access to energy efficiency upgrades and community energy resources for ‘renters, low-income households, and those in regional and remote communities’.</w:t>
      </w:r>
      <w:r w:rsidR="00855F2E">
        <w:rPr>
          <w:rFonts w:ascii="ZWAdobeF" w:hAnsi="ZWAdobeF" w:cs="ZWAdobeF"/>
          <w:sz w:val="2"/>
          <w:szCs w:val="2"/>
        </w:rPr>
        <w:t>130F</w:t>
      </w:r>
      <w:r>
        <w:rPr>
          <w:rStyle w:val="FootnoteReference"/>
        </w:rPr>
        <w:footnoteReference w:id="133"/>
      </w:r>
    </w:p>
    <w:p w14:paraId="39462F15" w14:textId="77777777" w:rsidR="005F52AE" w:rsidRDefault="005F52AE">
      <w:pPr>
        <w:pStyle w:val="ChapterHeadingOne"/>
      </w:pPr>
      <w:bookmarkStart w:id="67" w:name="_Toc194052256"/>
      <w:r>
        <w:t>Climate change adaptation in New South Wales</w:t>
      </w:r>
      <w:bookmarkEnd w:id="67"/>
      <w:r>
        <w:rPr>
          <w:rStyle w:val="CommentReference"/>
          <w:b w:val="0"/>
        </w:rPr>
        <w:t xml:space="preserve"> </w:t>
      </w:r>
    </w:p>
    <w:p w14:paraId="548901FC" w14:textId="53DBD2F6" w:rsidR="005F52AE" w:rsidRDefault="005F52AE" w:rsidP="005F52AE">
      <w:pPr>
        <w:pStyle w:val="ChapterBody"/>
        <w:numPr>
          <w:ilvl w:val="1"/>
          <w:numId w:val="5"/>
        </w:numPr>
        <w:ind w:left="850" w:hanging="850"/>
      </w:pPr>
      <w:r>
        <w:t xml:space="preserve">In its </w:t>
      </w:r>
      <w:r w:rsidR="00002F6E">
        <w:t>a</w:t>
      </w:r>
      <w:r>
        <w:t xml:space="preserve">nnual </w:t>
      </w:r>
      <w:r w:rsidR="00002F6E">
        <w:t>r</w:t>
      </w:r>
      <w:r>
        <w:t>eport, the commission explained that climate change adaptation means making adjustments to prepare for ‘the actual or expected effects of climate change’.</w:t>
      </w:r>
      <w:r w:rsidR="00855F2E">
        <w:rPr>
          <w:rFonts w:ascii="ZWAdobeF" w:hAnsi="ZWAdobeF" w:cs="ZWAdobeF"/>
          <w:sz w:val="2"/>
          <w:szCs w:val="2"/>
        </w:rPr>
        <w:t>131F</w:t>
      </w:r>
      <w:r>
        <w:rPr>
          <w:rStyle w:val="FootnoteReference"/>
        </w:rPr>
        <w:footnoteReference w:id="134"/>
      </w:r>
      <w:r>
        <w:t xml:space="preserve"> The commission stated that adaption</w:t>
      </w:r>
      <w:r w:rsidDel="008561F0">
        <w:t xml:space="preserve"> </w:t>
      </w:r>
      <w:r>
        <w:t>‘plays a key role in reducing exposure or vulnerability to climate change’.</w:t>
      </w:r>
      <w:r w:rsidR="00855F2E">
        <w:rPr>
          <w:rFonts w:ascii="ZWAdobeF" w:hAnsi="ZWAdobeF" w:cs="ZWAdobeF"/>
          <w:sz w:val="2"/>
          <w:szCs w:val="2"/>
        </w:rPr>
        <w:t>132F</w:t>
      </w:r>
      <w:r>
        <w:rPr>
          <w:rStyle w:val="FootnoteReference"/>
        </w:rPr>
        <w:footnoteReference w:id="135"/>
      </w:r>
      <w:r>
        <w:t xml:space="preserve"> It can be proactive, reactive, incremental or transformational.</w:t>
      </w:r>
      <w:r w:rsidR="00855F2E">
        <w:rPr>
          <w:rFonts w:ascii="ZWAdobeF" w:hAnsi="ZWAdobeF" w:cs="ZWAdobeF"/>
          <w:sz w:val="2"/>
          <w:szCs w:val="2"/>
        </w:rPr>
        <w:t>133F</w:t>
      </w:r>
      <w:r>
        <w:rPr>
          <w:rStyle w:val="FootnoteReference"/>
        </w:rPr>
        <w:footnoteReference w:id="136"/>
      </w:r>
    </w:p>
    <w:p w14:paraId="271DF3B8" w14:textId="2CEE6230" w:rsidR="005F52AE" w:rsidRDefault="005F52AE" w:rsidP="005F52AE">
      <w:pPr>
        <w:pStyle w:val="ChapterBody"/>
        <w:numPr>
          <w:ilvl w:val="1"/>
          <w:numId w:val="5"/>
        </w:numPr>
        <w:ind w:left="850" w:hanging="850"/>
      </w:pPr>
      <w:r>
        <w:lastRenderedPageBreak/>
        <w:t>The commission observed that New South Wales is already experiencing impacts of climate change such as heatwaves and flooding; and it has already warmed by 1.4 degrees since national records began in 1910.</w:t>
      </w:r>
      <w:r w:rsidR="00855F2E">
        <w:rPr>
          <w:rFonts w:ascii="ZWAdobeF" w:hAnsi="ZWAdobeF" w:cs="ZWAdobeF"/>
          <w:sz w:val="2"/>
          <w:szCs w:val="2"/>
        </w:rPr>
        <w:t>134F</w:t>
      </w:r>
      <w:r>
        <w:rPr>
          <w:rStyle w:val="FootnoteReference"/>
        </w:rPr>
        <w:footnoteReference w:id="137"/>
      </w:r>
      <w:r>
        <w:t xml:space="preserve"> The commission said it is projected the state will see ‘increases in these and other extremes in all future climate scenarios’.</w:t>
      </w:r>
      <w:r w:rsidR="00855F2E">
        <w:rPr>
          <w:rFonts w:ascii="ZWAdobeF" w:hAnsi="ZWAdobeF" w:cs="ZWAdobeF"/>
          <w:sz w:val="2"/>
          <w:szCs w:val="2"/>
        </w:rPr>
        <w:t>135F</w:t>
      </w:r>
      <w:r>
        <w:rPr>
          <w:rStyle w:val="FootnoteReference"/>
        </w:rPr>
        <w:footnoteReference w:id="138"/>
      </w:r>
    </w:p>
    <w:p w14:paraId="431BA526" w14:textId="77777777" w:rsidR="005F52AE" w:rsidRDefault="005F52AE" w:rsidP="005F52AE">
      <w:pPr>
        <w:pStyle w:val="ChapterBody"/>
        <w:numPr>
          <w:ilvl w:val="1"/>
          <w:numId w:val="5"/>
        </w:numPr>
        <w:ind w:left="850" w:hanging="850"/>
      </w:pPr>
      <w:r>
        <w:t xml:space="preserve">The commission examined the approach to climate adaptation taken in other states of Australia, by the Commonwealth, and internationally. As a </w:t>
      </w:r>
      <w:proofErr w:type="gramStart"/>
      <w:r>
        <w:t>result</w:t>
      </w:r>
      <w:proofErr w:type="gramEnd"/>
      <w:r>
        <w:t xml:space="preserve"> the commission described a widely adopted approach known as ‘the adaptation cycle’ which includes:</w:t>
      </w:r>
    </w:p>
    <w:p w14:paraId="169B6B57" w14:textId="77777777" w:rsidR="005F52AE" w:rsidRDefault="005F52AE" w:rsidP="005F52AE">
      <w:pPr>
        <w:pStyle w:val="ChapterBullet"/>
        <w:numPr>
          <w:ilvl w:val="0"/>
          <w:numId w:val="3"/>
        </w:numPr>
      </w:pPr>
      <w:r>
        <w:t>identifying climate risks and undertaking risk assessments</w:t>
      </w:r>
    </w:p>
    <w:p w14:paraId="6371957C" w14:textId="77777777" w:rsidR="005F52AE" w:rsidRDefault="005F52AE" w:rsidP="005F52AE">
      <w:pPr>
        <w:pStyle w:val="ChapterBullet"/>
        <w:numPr>
          <w:ilvl w:val="0"/>
          <w:numId w:val="3"/>
        </w:numPr>
      </w:pPr>
      <w:r>
        <w:t xml:space="preserve">formulating policies or plans to support climate adaptation </w:t>
      </w:r>
    </w:p>
    <w:p w14:paraId="1780AEAF" w14:textId="77777777" w:rsidR="005F52AE" w:rsidRDefault="005F52AE" w:rsidP="005F52AE">
      <w:pPr>
        <w:pStyle w:val="ChapterBullet"/>
        <w:numPr>
          <w:ilvl w:val="0"/>
          <w:numId w:val="3"/>
        </w:numPr>
      </w:pPr>
      <w:r>
        <w:t>an implementation phase</w:t>
      </w:r>
    </w:p>
    <w:p w14:paraId="3EBA33FC" w14:textId="5039A74D" w:rsidR="005F52AE" w:rsidRDefault="005F52AE" w:rsidP="005F52AE">
      <w:pPr>
        <w:pStyle w:val="ChapterBullet"/>
        <w:numPr>
          <w:ilvl w:val="0"/>
          <w:numId w:val="3"/>
        </w:numPr>
      </w:pPr>
      <w:r>
        <w:t>monitoring and evaluation.</w:t>
      </w:r>
      <w:r w:rsidR="00855F2E">
        <w:rPr>
          <w:rFonts w:ascii="ZWAdobeF" w:hAnsi="ZWAdobeF" w:cs="ZWAdobeF"/>
          <w:sz w:val="2"/>
          <w:szCs w:val="2"/>
        </w:rPr>
        <w:t>136F</w:t>
      </w:r>
      <w:r>
        <w:rPr>
          <w:rStyle w:val="FootnoteReference"/>
        </w:rPr>
        <w:footnoteReference w:id="139"/>
      </w:r>
    </w:p>
    <w:p w14:paraId="08691E2C" w14:textId="4ED402F9" w:rsidR="005F52AE" w:rsidRDefault="005F52AE" w:rsidP="005F52AE">
      <w:pPr>
        <w:pStyle w:val="ChapterBody"/>
        <w:numPr>
          <w:ilvl w:val="1"/>
          <w:numId w:val="5"/>
        </w:numPr>
        <w:ind w:left="850" w:hanging="850"/>
      </w:pPr>
      <w:r>
        <w:t>In Australia, states and territories are largely responsible for climate change adaptation.</w:t>
      </w:r>
      <w:r w:rsidR="00855F2E">
        <w:rPr>
          <w:rFonts w:ascii="ZWAdobeF" w:hAnsi="ZWAdobeF" w:cs="ZWAdobeF"/>
          <w:sz w:val="2"/>
          <w:szCs w:val="2"/>
        </w:rPr>
        <w:t>137F</w:t>
      </w:r>
      <w:r>
        <w:rPr>
          <w:rStyle w:val="FootnoteReference"/>
        </w:rPr>
        <w:footnoteReference w:id="140"/>
      </w:r>
      <w:r>
        <w:t xml:space="preserve"> The two main climate adaptation policies in New South Wales are: </w:t>
      </w:r>
    </w:p>
    <w:p w14:paraId="43B7265F" w14:textId="77777777" w:rsidR="005F52AE" w:rsidRDefault="005F52AE" w:rsidP="005F52AE">
      <w:pPr>
        <w:pStyle w:val="ChapterBullet"/>
        <w:numPr>
          <w:ilvl w:val="0"/>
          <w:numId w:val="3"/>
        </w:numPr>
      </w:pPr>
      <w:r>
        <w:t>the NSW Climate Change Policy Framework (2016) which sets the objective of making NSW more resilient to a changing climate, and</w:t>
      </w:r>
    </w:p>
    <w:p w14:paraId="6447E0AD" w14:textId="77777777" w:rsidR="005F52AE" w:rsidRDefault="005F52AE" w:rsidP="005F52AE">
      <w:pPr>
        <w:pStyle w:val="ChapterBullet"/>
        <w:numPr>
          <w:ilvl w:val="0"/>
          <w:numId w:val="3"/>
        </w:numPr>
      </w:pPr>
      <w:r>
        <w:t>the NSW Climate Change Adaptation Strategy (2022) which sets out the NSW Government’s long-term approach to adaptation and includes 20 actions supported by $93.7 million in funding from 2022 to 2030.</w:t>
      </w:r>
    </w:p>
    <w:p w14:paraId="348348B5" w14:textId="3682E7AB" w:rsidR="005F52AE" w:rsidRDefault="005F52AE" w:rsidP="005F52AE">
      <w:pPr>
        <w:pStyle w:val="ChapterBody"/>
        <w:numPr>
          <w:ilvl w:val="1"/>
          <w:numId w:val="5"/>
        </w:numPr>
        <w:ind w:left="850" w:hanging="850"/>
      </w:pPr>
      <w:r>
        <w:t xml:space="preserve">Additionally, the </w:t>
      </w:r>
      <w:proofErr w:type="spellStart"/>
      <w:r>
        <w:t>AdaptNSW</w:t>
      </w:r>
      <w:proofErr w:type="spellEnd"/>
      <w:r>
        <w:t xml:space="preserve"> website has, according to the commission, 'been a source of information on climate change adaptation for over 10 years’.</w:t>
      </w:r>
      <w:r w:rsidR="00855F2E">
        <w:rPr>
          <w:rFonts w:ascii="ZWAdobeF" w:hAnsi="ZWAdobeF" w:cs="ZWAdobeF"/>
          <w:sz w:val="2"/>
          <w:szCs w:val="2"/>
        </w:rPr>
        <w:t>138F</w:t>
      </w:r>
      <w:r>
        <w:rPr>
          <w:rStyle w:val="FootnoteReference"/>
        </w:rPr>
        <w:footnoteReference w:id="141"/>
      </w:r>
      <w:r>
        <w:t xml:space="preserve"> </w:t>
      </w:r>
    </w:p>
    <w:p w14:paraId="2B8904E6" w14:textId="56FE6376" w:rsidR="005F52AE" w:rsidRDefault="005F52AE" w:rsidP="005F52AE">
      <w:pPr>
        <w:pStyle w:val="ChapterBody"/>
        <w:numPr>
          <w:ilvl w:val="1"/>
          <w:numId w:val="5"/>
        </w:numPr>
        <w:ind w:left="850" w:hanging="850"/>
      </w:pPr>
      <w:r>
        <w:t>Further, the Climate Change (Net Zero Future) Act 2023 requires the commission</w:t>
      </w:r>
      <w:r w:rsidDel="00A65A6D">
        <w:t xml:space="preserve"> </w:t>
      </w:r>
      <w:r>
        <w:t>to ‘monitor and review, and provide advice and recommendations on, progress in relation to the broad adaption objective: "NSW is more resilient to a changing climate"’.</w:t>
      </w:r>
      <w:r w:rsidR="00855F2E">
        <w:rPr>
          <w:rFonts w:ascii="ZWAdobeF" w:hAnsi="ZWAdobeF" w:cs="ZWAdobeF"/>
          <w:sz w:val="2"/>
          <w:szCs w:val="2"/>
        </w:rPr>
        <w:t>139F</w:t>
      </w:r>
      <w:r>
        <w:rPr>
          <w:rStyle w:val="FootnoteReference"/>
        </w:rPr>
        <w:footnoteReference w:id="142"/>
      </w:r>
    </w:p>
    <w:p w14:paraId="428DA76C" w14:textId="77777777" w:rsidR="005F52AE" w:rsidRDefault="005F52AE" w:rsidP="005F52AE">
      <w:pPr>
        <w:pStyle w:val="ChapterBody"/>
        <w:numPr>
          <w:ilvl w:val="1"/>
          <w:numId w:val="5"/>
        </w:numPr>
        <w:ind w:left="850" w:hanging="850"/>
      </w:pPr>
      <w:r>
        <w:t xml:space="preserve">Dr Will </w:t>
      </w:r>
      <w:proofErr w:type="spellStart"/>
      <w:r>
        <w:t>Rayward</w:t>
      </w:r>
      <w:proofErr w:type="spellEnd"/>
      <w:r>
        <w:t>-Smith, Executive Director, Net Zero Commission, made clear that the commission will be working on adaptation and climate resilience in New South Wales:</w:t>
      </w:r>
    </w:p>
    <w:p w14:paraId="4F5CB918" w14:textId="783A859F" w:rsidR="005F52AE" w:rsidRDefault="005F52AE">
      <w:pPr>
        <w:pStyle w:val="ChapterQuotation"/>
      </w:pPr>
      <w:r w:rsidRPr="006B705C">
        <w:t>The office of the commission is staffed by a team of highly experienced individuals</w:t>
      </w:r>
      <w:r>
        <w:t>… ready to provide independent, expert advice to ensure New South Wales is on a clear path to net zero and to achieving the adaptation objective.</w:t>
      </w:r>
      <w:r w:rsidR="00855F2E">
        <w:rPr>
          <w:rFonts w:ascii="ZWAdobeF" w:hAnsi="ZWAdobeF" w:cs="ZWAdobeF"/>
          <w:sz w:val="2"/>
          <w:szCs w:val="2"/>
        </w:rPr>
        <w:t>140F</w:t>
      </w:r>
      <w:r>
        <w:rPr>
          <w:rStyle w:val="FootnoteReference"/>
        </w:rPr>
        <w:footnoteReference w:id="143"/>
      </w:r>
    </w:p>
    <w:p w14:paraId="3335A5E9" w14:textId="0A19CADA" w:rsidR="005F52AE" w:rsidRDefault="005F52AE" w:rsidP="005F52AE">
      <w:pPr>
        <w:pStyle w:val="ChapterBody"/>
        <w:numPr>
          <w:ilvl w:val="1"/>
          <w:numId w:val="5"/>
        </w:numPr>
        <w:ind w:left="850" w:hanging="850"/>
      </w:pPr>
      <w:r>
        <w:t>The commission acknowledged the 'important role' of Aboriginal peoples in informing and guiding adaptation policy and programs in NSW.</w:t>
      </w:r>
      <w:r w:rsidR="00855F2E">
        <w:rPr>
          <w:rFonts w:ascii="ZWAdobeF" w:hAnsi="ZWAdobeF" w:cs="ZWAdobeF"/>
          <w:sz w:val="2"/>
          <w:szCs w:val="2"/>
        </w:rPr>
        <w:t>141F</w:t>
      </w:r>
      <w:r>
        <w:rPr>
          <w:rStyle w:val="FootnoteReference"/>
        </w:rPr>
        <w:footnoteReference w:id="144"/>
      </w:r>
      <w:r>
        <w:t xml:space="preserve"> The Citizens</w:t>
      </w:r>
      <w:r w:rsidR="004356ED">
        <w:t>’</w:t>
      </w:r>
      <w:r>
        <w:t xml:space="preserve"> Climate Lobby Australia </w:t>
      </w:r>
      <w:r>
        <w:lastRenderedPageBreak/>
        <w:t>suggested that engagement with local government will be key for effective adaptation strategies, and further noted that local government may be able to ensure effective engagement with Aboriginal communities.</w:t>
      </w:r>
      <w:r w:rsidR="00855F2E">
        <w:rPr>
          <w:rFonts w:ascii="ZWAdobeF" w:hAnsi="ZWAdobeF" w:cs="ZWAdobeF"/>
          <w:sz w:val="2"/>
          <w:szCs w:val="2"/>
        </w:rPr>
        <w:t>142F</w:t>
      </w:r>
      <w:r>
        <w:rPr>
          <w:rStyle w:val="FootnoteReference"/>
        </w:rPr>
        <w:footnoteReference w:id="145"/>
      </w:r>
    </w:p>
    <w:p w14:paraId="2C2AAD78" w14:textId="14842462" w:rsidR="005F52AE" w:rsidRDefault="005F52AE" w:rsidP="005F52AE">
      <w:pPr>
        <w:pStyle w:val="ChapterBody"/>
        <w:numPr>
          <w:ilvl w:val="1"/>
          <w:numId w:val="5"/>
        </w:numPr>
        <w:ind w:left="850" w:hanging="850"/>
      </w:pPr>
      <w:r>
        <w:t>The commission noted that measuring progress on climate change adaptation is 'extremely challenging'.</w:t>
      </w:r>
      <w:r w:rsidR="00855F2E">
        <w:rPr>
          <w:rFonts w:ascii="ZWAdobeF" w:hAnsi="ZWAdobeF" w:cs="ZWAdobeF"/>
          <w:sz w:val="2"/>
          <w:szCs w:val="2"/>
        </w:rPr>
        <w:t>143F</w:t>
      </w:r>
      <w:r>
        <w:rPr>
          <w:rStyle w:val="FootnoteReference"/>
        </w:rPr>
        <w:footnoteReference w:id="146"/>
      </w:r>
      <w:r>
        <w:t xml:space="preserve"> It said that for future annual reports, it will endeavour to articulate a clear approach to measuring progress, including quantitative measures where possible.</w:t>
      </w:r>
      <w:r w:rsidR="00855F2E">
        <w:rPr>
          <w:rFonts w:ascii="ZWAdobeF" w:hAnsi="ZWAdobeF" w:cs="ZWAdobeF"/>
          <w:sz w:val="2"/>
          <w:szCs w:val="2"/>
        </w:rPr>
        <w:t>144F</w:t>
      </w:r>
      <w:r>
        <w:rPr>
          <w:rStyle w:val="FootnoteReference"/>
        </w:rPr>
        <w:footnoteReference w:id="147"/>
      </w:r>
    </w:p>
    <w:p w14:paraId="7C4D958E" w14:textId="1482F975" w:rsidR="005F52AE" w:rsidRDefault="005F52AE" w:rsidP="005F52AE">
      <w:pPr>
        <w:pStyle w:val="ChapterBody"/>
        <w:numPr>
          <w:ilvl w:val="1"/>
          <w:numId w:val="5"/>
        </w:numPr>
        <w:ind w:left="850" w:hanging="850"/>
      </w:pPr>
      <w:r>
        <w:t xml:space="preserve">The </w:t>
      </w:r>
      <w:r w:rsidRPr="00DE53F7">
        <w:t>National Environmental Law Association</w:t>
      </w:r>
      <w:r>
        <w:t xml:space="preserve"> reiterated with concern the challenge in measuring progress on adaptation.</w:t>
      </w:r>
      <w:r w:rsidR="00855F2E">
        <w:rPr>
          <w:rFonts w:ascii="ZWAdobeF" w:hAnsi="ZWAdobeF" w:cs="ZWAdobeF"/>
          <w:sz w:val="2"/>
          <w:szCs w:val="2"/>
        </w:rPr>
        <w:t>145F</w:t>
      </w:r>
      <w:r>
        <w:rPr>
          <w:rStyle w:val="FootnoteReference"/>
        </w:rPr>
        <w:footnoteReference w:id="148"/>
      </w:r>
      <w:r>
        <w:t xml:space="preserve"> It suggested the commission could use the NSW Climate Change Adaptation Action Plan 2025-2029 as the basis for tracking adaptation in New South Wales.</w:t>
      </w:r>
      <w:r w:rsidR="00855F2E">
        <w:rPr>
          <w:rFonts w:ascii="ZWAdobeF" w:hAnsi="ZWAdobeF" w:cs="ZWAdobeF"/>
          <w:sz w:val="2"/>
          <w:szCs w:val="2"/>
        </w:rPr>
        <w:t>146F</w:t>
      </w:r>
      <w:r>
        <w:rPr>
          <w:rStyle w:val="FootnoteReference"/>
        </w:rPr>
        <w:footnoteReference w:id="149"/>
      </w:r>
      <w:r>
        <w:t xml:space="preserve"> The commission did not have the opportunity to review this plan for the 2024 Annual Report.</w:t>
      </w:r>
      <w:r w:rsidR="00855F2E">
        <w:rPr>
          <w:rFonts w:ascii="ZWAdobeF" w:hAnsi="ZWAdobeF" w:cs="ZWAdobeF"/>
          <w:sz w:val="2"/>
          <w:szCs w:val="2"/>
        </w:rPr>
        <w:t>147F</w:t>
      </w:r>
      <w:r>
        <w:rPr>
          <w:rStyle w:val="FootnoteReference"/>
        </w:rPr>
        <w:footnoteReference w:id="150"/>
      </w:r>
    </w:p>
    <w:p w14:paraId="476F54EF" w14:textId="5A44C3C6" w:rsidR="005F52AE" w:rsidRDefault="005F52AE" w:rsidP="005F52AE">
      <w:pPr>
        <w:pStyle w:val="ChapterBody"/>
        <w:numPr>
          <w:ilvl w:val="1"/>
          <w:numId w:val="5"/>
        </w:numPr>
        <w:ind w:left="850" w:hanging="850"/>
      </w:pPr>
      <w:r>
        <w:t>The commission noted that disaster risk reduction is a key element of climate change adaptation, and that to that end the NSW Reconstruction Authority was established in 2022, and subsequently released the first State Disaster Mitigation plan in 2024.</w:t>
      </w:r>
      <w:r w:rsidR="00855F2E">
        <w:rPr>
          <w:rFonts w:ascii="ZWAdobeF" w:hAnsi="ZWAdobeF" w:cs="ZWAdobeF"/>
          <w:sz w:val="2"/>
          <w:szCs w:val="2"/>
        </w:rPr>
        <w:t>148F</w:t>
      </w:r>
      <w:r>
        <w:rPr>
          <w:rStyle w:val="FootnoteReference"/>
        </w:rPr>
        <w:footnoteReference w:id="151"/>
      </w:r>
      <w:r>
        <w:t xml:space="preserve"> The commission further noted that NSW Treasury estimated extreme weather ‘could cost NSW up to $17.2 billion per year, on average, by 2060-61’.</w:t>
      </w:r>
      <w:r w:rsidR="00855F2E">
        <w:rPr>
          <w:rFonts w:ascii="ZWAdobeF" w:hAnsi="ZWAdobeF" w:cs="ZWAdobeF"/>
          <w:sz w:val="2"/>
          <w:szCs w:val="2"/>
        </w:rPr>
        <w:t>149F</w:t>
      </w:r>
      <w:r>
        <w:rPr>
          <w:rStyle w:val="FootnoteReference"/>
        </w:rPr>
        <w:footnoteReference w:id="152"/>
      </w:r>
      <w:r>
        <w:t xml:space="preserve"> The commission further observed that ‘every dollar appropriately invested in climate change adaptation and disaster risk reduction saves between $2 and $10 in recovery.’</w:t>
      </w:r>
      <w:r w:rsidR="00855F2E">
        <w:rPr>
          <w:rFonts w:ascii="ZWAdobeF" w:hAnsi="ZWAdobeF" w:cs="ZWAdobeF"/>
          <w:sz w:val="2"/>
          <w:szCs w:val="2"/>
        </w:rPr>
        <w:t>150F</w:t>
      </w:r>
      <w:r>
        <w:rPr>
          <w:rStyle w:val="FootnoteReference"/>
        </w:rPr>
        <w:footnoteReference w:id="153"/>
      </w:r>
      <w:r>
        <w:t xml:space="preserve"> As such, the commission advised it has ‘requested more information on investment in adaptation and related programs across the NSW government</w:t>
      </w:r>
      <w:r w:rsidR="0053108D">
        <w:t>’</w:t>
      </w:r>
      <w:r>
        <w:t>.</w:t>
      </w:r>
      <w:r w:rsidR="00855F2E">
        <w:rPr>
          <w:rFonts w:ascii="ZWAdobeF" w:hAnsi="ZWAdobeF" w:cs="ZWAdobeF"/>
          <w:sz w:val="2"/>
          <w:szCs w:val="2"/>
        </w:rPr>
        <w:t>151F</w:t>
      </w:r>
      <w:r>
        <w:rPr>
          <w:rStyle w:val="FootnoteReference"/>
        </w:rPr>
        <w:footnoteReference w:id="154"/>
      </w:r>
    </w:p>
    <w:p w14:paraId="151A217B" w14:textId="77777777" w:rsidR="005F52AE" w:rsidRDefault="005F52AE" w:rsidP="005F52AE">
      <w:pPr>
        <w:pStyle w:val="ChapterBody"/>
        <w:numPr>
          <w:ilvl w:val="1"/>
          <w:numId w:val="5"/>
        </w:numPr>
        <w:ind w:left="850" w:hanging="850"/>
      </w:pPr>
      <w:r>
        <w:t>Mr Raymond Kelly, NSW Aboriginal Land Council, made the point that developing well thought out renewable energy sources in regional and remote communities can contribute to both to emissions reduction while also adapting communities to be more resilient to a changing climate:</w:t>
      </w:r>
    </w:p>
    <w:p w14:paraId="26831831" w14:textId="07F15BA2" w:rsidR="005F52AE" w:rsidRDefault="005F52AE">
      <w:pPr>
        <w:pStyle w:val="ChapterQuotation"/>
      </w:pPr>
      <w:r>
        <w:t>The point I want to make about the grid stability and resilience is that it's also important for regional and remote communities—Aboriginal and non-Aboriginal people alike—as we saw in the recent catastrophic transmission failure at Broken Hill.</w:t>
      </w:r>
      <w:r w:rsidR="00855F2E">
        <w:rPr>
          <w:rFonts w:ascii="ZWAdobeF" w:hAnsi="ZWAdobeF" w:cs="ZWAdobeF"/>
          <w:sz w:val="2"/>
          <w:szCs w:val="2"/>
        </w:rPr>
        <w:t>152F</w:t>
      </w:r>
      <w:r>
        <w:rPr>
          <w:rStyle w:val="FootnoteReference"/>
        </w:rPr>
        <w:footnoteReference w:id="155"/>
      </w:r>
      <w:r>
        <w:t xml:space="preserve"> </w:t>
      </w:r>
    </w:p>
    <w:p w14:paraId="0E43E599" w14:textId="4941EB6F" w:rsidR="005F52AE" w:rsidRDefault="005F52AE" w:rsidP="005F52AE">
      <w:pPr>
        <w:pStyle w:val="ChapterBody"/>
        <w:numPr>
          <w:ilvl w:val="1"/>
          <w:numId w:val="5"/>
        </w:numPr>
        <w:ind w:left="850" w:hanging="850"/>
      </w:pPr>
      <w:r>
        <w:lastRenderedPageBreak/>
        <w:t xml:space="preserve">In October 2024 </w:t>
      </w:r>
      <w:proofErr w:type="spellStart"/>
      <w:r>
        <w:t>Transgrid</w:t>
      </w:r>
      <w:proofErr w:type="spellEnd"/>
      <w:r>
        <w:t xml:space="preserve"> reported that transmission towers supplying Broken Hill failed due to a severe storm event,</w:t>
      </w:r>
      <w:r w:rsidR="00855F2E">
        <w:rPr>
          <w:rFonts w:ascii="ZWAdobeF" w:hAnsi="ZWAdobeF" w:cs="ZWAdobeF"/>
          <w:sz w:val="2"/>
          <w:szCs w:val="2"/>
        </w:rPr>
        <w:t>153F</w:t>
      </w:r>
      <w:r>
        <w:rPr>
          <w:rStyle w:val="FootnoteReference"/>
        </w:rPr>
        <w:footnoteReference w:id="156"/>
      </w:r>
      <w:r>
        <w:t xml:space="preserve"> which is now the subject of an inquiry by the Legislative Assembly Committee on Environment and Planning.</w:t>
      </w:r>
      <w:r w:rsidR="00855F2E">
        <w:rPr>
          <w:rFonts w:ascii="ZWAdobeF" w:hAnsi="ZWAdobeF" w:cs="ZWAdobeF"/>
          <w:sz w:val="2"/>
          <w:szCs w:val="2"/>
        </w:rPr>
        <w:t>154F</w:t>
      </w:r>
      <w:r>
        <w:rPr>
          <w:rStyle w:val="FootnoteReference"/>
        </w:rPr>
        <w:footnoteReference w:id="157"/>
      </w:r>
    </w:p>
    <w:p w14:paraId="5DCBD13B" w14:textId="77777777" w:rsidR="005F52AE" w:rsidRDefault="005F52AE" w:rsidP="005F52AE">
      <w:pPr>
        <w:pStyle w:val="ChapterBody"/>
        <w:numPr>
          <w:ilvl w:val="1"/>
          <w:numId w:val="5"/>
        </w:numPr>
        <w:ind w:left="850" w:hanging="850"/>
      </w:pPr>
      <w:r>
        <w:t>Similarly in the housing sector, in relation to building standards, Commissioner Professor Andrew Pitman made the point that housing can be constructed to meet both aims of reducing emissions and increasing climate resilience:</w:t>
      </w:r>
    </w:p>
    <w:p w14:paraId="6F26BC8B" w14:textId="00F1D94B" w:rsidR="005F52AE" w:rsidRDefault="005F52AE">
      <w:pPr>
        <w:pStyle w:val="ChapterQuotation"/>
      </w:pPr>
      <w:r>
        <w:t xml:space="preserve">There is no doubt that you can build houses to higher standard to both make them more energy efficient and much more resilient… </w:t>
      </w:r>
      <w:r w:rsidRPr="00AA3E42">
        <w:t>I think there's a very considerable amount of work that could be done to enhance resilience</w:t>
      </w:r>
      <w:r>
        <w:t>.</w:t>
      </w:r>
      <w:r w:rsidR="00855F2E">
        <w:rPr>
          <w:rFonts w:ascii="ZWAdobeF" w:hAnsi="ZWAdobeF" w:cs="ZWAdobeF"/>
          <w:sz w:val="2"/>
          <w:szCs w:val="2"/>
        </w:rPr>
        <w:t>155F</w:t>
      </w:r>
      <w:r>
        <w:rPr>
          <w:rStyle w:val="FootnoteReference"/>
        </w:rPr>
        <w:footnoteReference w:id="158"/>
      </w:r>
    </w:p>
    <w:p w14:paraId="3C1C00DB" w14:textId="77777777" w:rsidR="005F52AE" w:rsidRDefault="005F52AE">
      <w:pPr>
        <w:pStyle w:val="ChapterHeadingOne"/>
      </w:pPr>
      <w:bookmarkStart w:id="68" w:name="_Toc194052257"/>
      <w:r>
        <w:t>Committee comment</w:t>
      </w:r>
      <w:bookmarkEnd w:id="68"/>
    </w:p>
    <w:p w14:paraId="19599BD1" w14:textId="77777777" w:rsidR="005F52AE" w:rsidRDefault="005F52AE" w:rsidP="005F52AE">
      <w:pPr>
        <w:pStyle w:val="ChapterBody"/>
        <w:numPr>
          <w:ilvl w:val="1"/>
          <w:numId w:val="5"/>
        </w:numPr>
        <w:ind w:left="850" w:hanging="850"/>
      </w:pPr>
      <w:r>
        <w:t>The Net Zero Commission is an important body that will play a key role in guiding New South Wales as it transitions to a net zero future. The committee acknowledges that having been recently established, the commission had a short time frame to produce the 2024 annual report, and this limited the amount of stakeholder engagement that could be undertaken. However, we understand that the commission plans to conduct more thorough stakeholder engagement for future reports.</w:t>
      </w:r>
    </w:p>
    <w:p w14:paraId="1DBB54A1" w14:textId="77777777" w:rsidR="005F52AE" w:rsidRDefault="005F52A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F52AE" w:rsidRPr="00AF4163" w14:paraId="417C2DE5" w14:textId="77777777">
        <w:trPr>
          <w:cantSplit/>
        </w:trPr>
        <w:tc>
          <w:tcPr>
            <w:tcW w:w="851" w:type="dxa"/>
          </w:tcPr>
          <w:p w14:paraId="36AA64B4" w14:textId="77777777" w:rsidR="005F52AE" w:rsidRPr="00AF4163" w:rsidRDefault="005F52AE">
            <w:pPr>
              <w:pStyle w:val="BodyCopy"/>
            </w:pPr>
          </w:p>
        </w:tc>
        <w:tc>
          <w:tcPr>
            <w:tcW w:w="8896" w:type="dxa"/>
          </w:tcPr>
          <w:p w14:paraId="41E61A6B" w14:textId="77777777" w:rsidR="005F52AE" w:rsidRDefault="005F52AE">
            <w:pPr>
              <w:pStyle w:val="RecommendationTitle"/>
            </w:pPr>
            <w:bookmarkStart w:id="69" w:name="_Toc193207768"/>
            <w:bookmarkStart w:id="70" w:name="_Toc193726488"/>
            <w:bookmarkStart w:id="71" w:name="_Toc193726504"/>
            <w:r>
              <w:t xml:space="preserve">Finding </w:t>
            </w:r>
            <w:r>
              <w:fldChar w:fldCharType="begin"/>
            </w:r>
            <w:r>
              <w:instrText xml:space="preserve"> AUTONUMLGL \e  </w:instrText>
            </w:r>
            <w:r>
              <w:fldChar w:fldCharType="end"/>
            </w:r>
            <w:bookmarkEnd w:id="69"/>
            <w:bookmarkEnd w:id="70"/>
            <w:bookmarkEnd w:id="71"/>
          </w:p>
          <w:p w14:paraId="33904A39" w14:textId="77777777" w:rsidR="005F52AE" w:rsidRPr="00AF4163" w:rsidRDefault="005F52AE">
            <w:pPr>
              <w:pStyle w:val="RecommendationBody"/>
            </w:pPr>
            <w:bookmarkStart w:id="72" w:name="_Toc193207761"/>
            <w:bookmarkStart w:id="73" w:name="_Toc193207769"/>
            <w:bookmarkStart w:id="74" w:name="_Toc193726489"/>
            <w:bookmarkStart w:id="75" w:name="_Toc193726505"/>
            <w:r>
              <w:t>The 2024 annual report of the Net Zero Commission was produced in a short time frame while the commission was being established, which limited the amount of stakeholder engagement that could be undertaken, but the commission plans to conduct improved stakeholder engagement for future reports.</w:t>
            </w:r>
            <w:bookmarkEnd w:id="72"/>
            <w:bookmarkEnd w:id="73"/>
            <w:bookmarkEnd w:id="74"/>
            <w:bookmarkEnd w:id="75"/>
          </w:p>
        </w:tc>
      </w:tr>
    </w:tbl>
    <w:p w14:paraId="267336C5" w14:textId="77777777" w:rsidR="005F52AE" w:rsidRDefault="005F52AE" w:rsidP="005F52AE">
      <w:pPr>
        <w:pStyle w:val="ChapterBody"/>
        <w:numPr>
          <w:ilvl w:val="1"/>
          <w:numId w:val="5"/>
        </w:numPr>
        <w:ind w:left="850" w:hanging="850"/>
      </w:pPr>
      <w:r>
        <w:t>In general, there appeared to be broad support among inquiry participants for the 2024 annual report of the Net Zero Commission. It is clear many that stakeholders across the community, business and government sectors are keen to engage with the commission in the future.</w:t>
      </w:r>
    </w:p>
    <w:p w14:paraId="2D08E9A0" w14:textId="77777777" w:rsidR="005F52AE" w:rsidRDefault="005F52AE">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F52AE" w:rsidRPr="00AF4163" w14:paraId="4DC1EF30" w14:textId="77777777">
        <w:trPr>
          <w:cantSplit/>
        </w:trPr>
        <w:tc>
          <w:tcPr>
            <w:tcW w:w="851" w:type="dxa"/>
          </w:tcPr>
          <w:p w14:paraId="49F77298" w14:textId="77777777" w:rsidR="005F52AE" w:rsidRPr="00AF4163" w:rsidRDefault="005F52AE">
            <w:pPr>
              <w:pStyle w:val="BodyCopy"/>
            </w:pPr>
          </w:p>
        </w:tc>
        <w:tc>
          <w:tcPr>
            <w:tcW w:w="8896" w:type="dxa"/>
          </w:tcPr>
          <w:p w14:paraId="34F41865" w14:textId="77777777" w:rsidR="005F52AE" w:rsidRDefault="005F52AE">
            <w:pPr>
              <w:pStyle w:val="RecommendationTitle"/>
            </w:pPr>
            <w:bookmarkStart w:id="76" w:name="_Toc193207770"/>
            <w:bookmarkStart w:id="77" w:name="_Toc193726490"/>
            <w:bookmarkStart w:id="78" w:name="_Toc193726506"/>
            <w:r>
              <w:t xml:space="preserve">Finding </w:t>
            </w:r>
            <w:r>
              <w:fldChar w:fldCharType="begin"/>
            </w:r>
            <w:r>
              <w:instrText xml:space="preserve"> AUTONUMLGL \e  </w:instrText>
            </w:r>
            <w:r>
              <w:fldChar w:fldCharType="end"/>
            </w:r>
            <w:bookmarkEnd w:id="76"/>
            <w:bookmarkEnd w:id="77"/>
            <w:bookmarkEnd w:id="78"/>
          </w:p>
          <w:p w14:paraId="1358B91B" w14:textId="77777777" w:rsidR="005F52AE" w:rsidRPr="00AF4163" w:rsidRDefault="005F52AE">
            <w:pPr>
              <w:pStyle w:val="RecommendationBody"/>
            </w:pPr>
            <w:bookmarkStart w:id="79" w:name="_Toc193207763"/>
            <w:bookmarkStart w:id="80" w:name="_Toc193207771"/>
            <w:bookmarkStart w:id="81" w:name="_Toc193726491"/>
            <w:bookmarkStart w:id="82" w:name="_Toc193726507"/>
            <w:r>
              <w:t>The 2024 annual report of the Net Zero Commission was broadly supported by stakeholders, who look forward to engaging with the commission on future reports.</w:t>
            </w:r>
            <w:bookmarkEnd w:id="79"/>
            <w:bookmarkEnd w:id="80"/>
            <w:bookmarkEnd w:id="81"/>
            <w:bookmarkEnd w:id="82"/>
          </w:p>
        </w:tc>
      </w:tr>
    </w:tbl>
    <w:p w14:paraId="2401EEFD" w14:textId="77777777" w:rsidR="005F52AE" w:rsidRDefault="005F52AE" w:rsidP="005F52AE">
      <w:pPr>
        <w:pStyle w:val="ChapterBody"/>
        <w:numPr>
          <w:ilvl w:val="1"/>
          <w:numId w:val="5"/>
        </w:numPr>
        <w:ind w:left="850" w:hanging="850"/>
      </w:pPr>
      <w:r>
        <w:t xml:space="preserve">Noting the support for the commission's work so far, the committee recommends that the government ensures the commission is well resourced and supported by other departments and </w:t>
      </w:r>
      <w:r>
        <w:lastRenderedPageBreak/>
        <w:t xml:space="preserve">agencies in order to deliver its legislated objectives for the state of </w:t>
      </w:r>
      <w:proofErr w:type="gramStart"/>
      <w:r>
        <w:t>New South Wales, and</w:t>
      </w:r>
      <w:proofErr w:type="gramEnd"/>
      <w:r>
        <w:t xml:space="preserve"> responds with careful consideration to the observations and advice of the commission.</w:t>
      </w:r>
    </w:p>
    <w:p w14:paraId="793A1E9F" w14:textId="77777777" w:rsidR="005F52AE" w:rsidRDefault="005F52AE">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F52AE" w:rsidRPr="00563520" w14:paraId="46D6F415" w14:textId="77777777">
        <w:trPr>
          <w:cantSplit/>
        </w:trPr>
        <w:tc>
          <w:tcPr>
            <w:tcW w:w="851" w:type="dxa"/>
          </w:tcPr>
          <w:p w14:paraId="45B5BB3D" w14:textId="77777777" w:rsidR="005F52AE" w:rsidRPr="00563520" w:rsidRDefault="005F52AE">
            <w:pPr>
              <w:pStyle w:val="BodyCopy"/>
            </w:pPr>
          </w:p>
        </w:tc>
        <w:tc>
          <w:tcPr>
            <w:tcW w:w="8896" w:type="dxa"/>
          </w:tcPr>
          <w:p w14:paraId="67DCE834" w14:textId="77777777" w:rsidR="005F52AE" w:rsidRDefault="005F52AE">
            <w:pPr>
              <w:pStyle w:val="RecommendationTitle"/>
            </w:pPr>
            <w:bookmarkStart w:id="83" w:name="_Toc193207764"/>
            <w:bookmarkStart w:id="84" w:name="_Toc193726492"/>
            <w:bookmarkStart w:id="85" w:name="_Toc193726508"/>
            <w:r>
              <w:t>Recommendation 1</w:t>
            </w:r>
            <w:bookmarkEnd w:id="83"/>
            <w:bookmarkEnd w:id="84"/>
            <w:bookmarkEnd w:id="85"/>
          </w:p>
          <w:p w14:paraId="20C4F2F3" w14:textId="77777777" w:rsidR="005F52AE" w:rsidRDefault="005F52AE">
            <w:pPr>
              <w:pStyle w:val="RecommendationBody"/>
            </w:pPr>
            <w:bookmarkStart w:id="86" w:name="_Toc193207765"/>
            <w:bookmarkStart w:id="87" w:name="_Toc193207773"/>
            <w:bookmarkStart w:id="88" w:name="_Toc193726493"/>
            <w:bookmarkStart w:id="89" w:name="_Toc193726509"/>
            <w:r>
              <w:t>That the government:</w:t>
            </w:r>
            <w:bookmarkEnd w:id="86"/>
            <w:bookmarkEnd w:id="87"/>
            <w:bookmarkEnd w:id="88"/>
            <w:bookmarkEnd w:id="89"/>
          </w:p>
          <w:p w14:paraId="3EA928DF" w14:textId="77777777" w:rsidR="005F52AE" w:rsidRDefault="005F52AE" w:rsidP="005F52AE">
            <w:pPr>
              <w:pStyle w:val="RecommendationBullet"/>
              <w:numPr>
                <w:ilvl w:val="0"/>
                <w:numId w:val="4"/>
              </w:numPr>
            </w:pPr>
            <w:bookmarkStart w:id="90" w:name="_Toc193207766"/>
            <w:bookmarkStart w:id="91" w:name="_Toc193207774"/>
            <w:bookmarkStart w:id="92" w:name="_Toc193726494"/>
            <w:bookmarkStart w:id="93" w:name="_Toc193726510"/>
            <w:r>
              <w:t>ensures the commission is well resourced and supported by other departments and agencies in order to deliver its legislated objectives for the state of New South Wales, and</w:t>
            </w:r>
            <w:bookmarkEnd w:id="90"/>
            <w:bookmarkEnd w:id="91"/>
            <w:bookmarkEnd w:id="92"/>
            <w:bookmarkEnd w:id="93"/>
            <w:r>
              <w:t xml:space="preserve"> </w:t>
            </w:r>
          </w:p>
          <w:p w14:paraId="7A91CF9F" w14:textId="77777777" w:rsidR="005F52AE" w:rsidRPr="00563520" w:rsidRDefault="005F52AE" w:rsidP="005F52AE">
            <w:pPr>
              <w:pStyle w:val="RecommendationBullet"/>
              <w:numPr>
                <w:ilvl w:val="0"/>
                <w:numId w:val="4"/>
              </w:numPr>
            </w:pPr>
            <w:bookmarkStart w:id="94" w:name="_Toc193207767"/>
            <w:bookmarkStart w:id="95" w:name="_Toc193207775"/>
            <w:bookmarkStart w:id="96" w:name="_Toc193726495"/>
            <w:bookmarkStart w:id="97" w:name="_Toc193726511"/>
            <w:r>
              <w:t>responds with careful consideration to the observations and advice of the commission.</w:t>
            </w:r>
            <w:bookmarkEnd w:id="94"/>
            <w:bookmarkEnd w:id="95"/>
            <w:bookmarkEnd w:id="96"/>
            <w:bookmarkEnd w:id="97"/>
          </w:p>
        </w:tc>
      </w:tr>
    </w:tbl>
    <w:p w14:paraId="5B01652C" w14:textId="0D6E6AE2" w:rsidR="00270796" w:rsidRDefault="00067788" w:rsidP="00270796">
      <w:pPr>
        <w:pStyle w:val="ChapterBody"/>
      </w:pPr>
      <w:r>
        <w:t>The Joint Standing Committee notes the Net Zero Commissi</w:t>
      </w:r>
      <w:r w:rsidR="002C7D53">
        <w:t>o</w:t>
      </w:r>
      <w:r>
        <w:t>n’s commitment to ‘closely examine developments in the resources sector</w:t>
      </w:r>
      <w:r w:rsidR="00051395">
        <w:t>',</w:t>
      </w:r>
      <w:r>
        <w:t xml:space="preserve"> </w:t>
      </w:r>
      <w:r w:rsidR="00D7476D">
        <w:t>'</w:t>
      </w:r>
      <w:r>
        <w:t xml:space="preserve">given the criticality of this sector for achievement of </w:t>
      </w:r>
      <w:r w:rsidR="00FC1051">
        <w:t>NSW</w:t>
      </w:r>
      <w:r>
        <w:t xml:space="preserve"> existing and future net zero emissions targets</w:t>
      </w:r>
      <w:r w:rsidR="00B55303">
        <w:t>’</w:t>
      </w:r>
      <w:r>
        <w:t>.</w:t>
      </w:r>
      <w:r w:rsidR="00630655">
        <w:rPr>
          <w:rStyle w:val="FootnoteReference"/>
        </w:rPr>
        <w:footnoteReference w:id="159"/>
      </w:r>
    </w:p>
    <w:p w14:paraId="66809FF5" w14:textId="77777777" w:rsidR="00847A69" w:rsidRDefault="00847A69" w:rsidP="00847A6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47A69" w:rsidRPr="00847A69" w14:paraId="118B4805" w14:textId="77777777">
        <w:trPr>
          <w:cantSplit/>
        </w:trPr>
        <w:tc>
          <w:tcPr>
            <w:tcW w:w="851" w:type="dxa"/>
          </w:tcPr>
          <w:p w14:paraId="38FCF2FD" w14:textId="77777777" w:rsidR="00847A69" w:rsidRPr="00847A69" w:rsidRDefault="00847A69" w:rsidP="00847A69">
            <w:pPr>
              <w:pStyle w:val="BodyCopy"/>
            </w:pPr>
          </w:p>
        </w:tc>
        <w:tc>
          <w:tcPr>
            <w:tcW w:w="8896" w:type="dxa"/>
          </w:tcPr>
          <w:p w14:paraId="44AA6308" w14:textId="45254F8D" w:rsidR="00847A69" w:rsidRDefault="00847A69" w:rsidP="00847A69">
            <w:pPr>
              <w:pStyle w:val="RecommendationTitle"/>
            </w:pPr>
            <w:bookmarkStart w:id="98" w:name="_Toc193726496"/>
            <w:bookmarkStart w:id="99" w:name="_Toc193726512"/>
            <w:r>
              <w:t xml:space="preserve">Finding </w:t>
            </w:r>
            <w:r>
              <w:fldChar w:fldCharType="begin"/>
            </w:r>
            <w:r>
              <w:instrText xml:space="preserve"> AUTONUMLGL \e  </w:instrText>
            </w:r>
            <w:r>
              <w:fldChar w:fldCharType="end"/>
            </w:r>
            <w:bookmarkEnd w:id="98"/>
            <w:bookmarkEnd w:id="99"/>
          </w:p>
          <w:p w14:paraId="5B02B29E" w14:textId="412936A6" w:rsidR="00847A69" w:rsidRPr="00847A69" w:rsidRDefault="00847A69" w:rsidP="00D6648A">
            <w:pPr>
              <w:pStyle w:val="RecommendationBody"/>
            </w:pPr>
            <w:bookmarkStart w:id="100" w:name="_Toc193726497"/>
            <w:bookmarkStart w:id="101" w:name="_Toc193726513"/>
            <w:r w:rsidRPr="00847A69">
              <w:t xml:space="preserve">This </w:t>
            </w:r>
            <w:r w:rsidR="002E5EE3">
              <w:t>c</w:t>
            </w:r>
            <w:r w:rsidRPr="00847A69">
              <w:t>ommittee finds that there is considerable uncertainty regarding whether emissions targets can be achieved - particularly the 2030 and 2035 interim targets - given what the N</w:t>
            </w:r>
            <w:r w:rsidR="00CE1286">
              <w:t xml:space="preserve">et </w:t>
            </w:r>
            <w:r w:rsidRPr="00847A69">
              <w:t>Z</w:t>
            </w:r>
            <w:r w:rsidR="00CE1286">
              <w:t xml:space="preserve">ero </w:t>
            </w:r>
            <w:r w:rsidRPr="00847A69">
              <w:t>C</w:t>
            </w:r>
            <w:r w:rsidR="00CE1286">
              <w:t>ommission</w:t>
            </w:r>
            <w:r w:rsidRPr="00847A69">
              <w:t xml:space="preserve"> describes as a ‘sizeable pipeline’ of new coal expansions currently being assessed by the NSW Department of Planning, Housing and Infrastructure.</w:t>
            </w:r>
            <w:bookmarkEnd w:id="100"/>
            <w:bookmarkEnd w:id="101"/>
          </w:p>
        </w:tc>
      </w:tr>
    </w:tbl>
    <w:p w14:paraId="3F65A1CC" w14:textId="77777777" w:rsidR="00847A69" w:rsidRPr="00847A69" w:rsidRDefault="00847A69" w:rsidP="00D6648A">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6648A" w:rsidRPr="00D6648A" w14:paraId="3B88B9B9" w14:textId="77777777" w:rsidTr="00D6648A">
        <w:trPr>
          <w:cantSplit/>
        </w:trPr>
        <w:tc>
          <w:tcPr>
            <w:tcW w:w="851" w:type="dxa"/>
          </w:tcPr>
          <w:p w14:paraId="25C40845" w14:textId="77777777" w:rsidR="00D6648A" w:rsidRPr="00D6648A" w:rsidRDefault="00D6648A" w:rsidP="00D6648A">
            <w:pPr>
              <w:pStyle w:val="BodyCopy"/>
            </w:pPr>
          </w:p>
        </w:tc>
        <w:tc>
          <w:tcPr>
            <w:tcW w:w="8896" w:type="dxa"/>
          </w:tcPr>
          <w:p w14:paraId="21133EE3" w14:textId="22DBB55B" w:rsidR="00D6648A" w:rsidRDefault="00D6648A" w:rsidP="00D6648A">
            <w:pPr>
              <w:pStyle w:val="RecommendationTitle"/>
            </w:pPr>
            <w:bookmarkStart w:id="102" w:name="_Toc193726498"/>
            <w:bookmarkStart w:id="103" w:name="_Toc193726514"/>
            <w:r>
              <w:t>Recommendation 2</w:t>
            </w:r>
            <w:bookmarkEnd w:id="102"/>
            <w:bookmarkEnd w:id="103"/>
          </w:p>
          <w:p w14:paraId="6C7E1216" w14:textId="388DB7F9" w:rsidR="00D6648A" w:rsidRPr="00D6648A" w:rsidRDefault="00F248BC" w:rsidP="00D6648A">
            <w:pPr>
              <w:pStyle w:val="RecommendationBody"/>
            </w:pPr>
            <w:bookmarkStart w:id="104" w:name="_Toc193726499"/>
            <w:bookmarkStart w:id="105" w:name="_Toc193726515"/>
            <w:r w:rsidRPr="00F248BC">
              <w:t xml:space="preserve">That the government supports the </w:t>
            </w:r>
            <w:r w:rsidR="00712D77">
              <w:t>c</w:t>
            </w:r>
            <w:r w:rsidRPr="00F248BC">
              <w:t>ommission to use their legislated functions to provide a further report on the resources sector</w:t>
            </w:r>
            <w:r w:rsidR="007216B6">
              <w:t>, including methane abatement technology and fugitive emissions,</w:t>
            </w:r>
            <w:r w:rsidRPr="00F248BC">
              <w:t xml:space="preserve"> as a matter of urgency</w:t>
            </w:r>
            <w:bookmarkEnd w:id="104"/>
            <w:bookmarkEnd w:id="105"/>
            <w:r w:rsidR="001021AE">
              <w:t>.</w:t>
            </w:r>
          </w:p>
        </w:tc>
      </w:tr>
    </w:tbl>
    <w:p w14:paraId="05F32A1F" w14:textId="2DF11563" w:rsidR="003C59D9" w:rsidRDefault="003C59D9" w:rsidP="003A1F2A">
      <w:pPr>
        <w:pStyle w:val="ChapterBody"/>
      </w:pPr>
      <w:r w:rsidRPr="003C59D9">
        <w:t>As discussed at 2.24, the Climate Council recommended that due to the length of time that a vehicle is put into service, the earlier that regulatory changes to encourage the purchase of new low emissions vehicles, the sooner the benefit of emissions reduction will be realised.</w:t>
      </w:r>
    </w:p>
    <w:p w14:paraId="13A5E4CB" w14:textId="77777777" w:rsidR="003C59D9" w:rsidRDefault="003C59D9" w:rsidP="003C59D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C59D9" w:rsidRPr="003C59D9" w14:paraId="7AAA54EE" w14:textId="77777777">
        <w:trPr>
          <w:cantSplit/>
        </w:trPr>
        <w:tc>
          <w:tcPr>
            <w:tcW w:w="851" w:type="dxa"/>
          </w:tcPr>
          <w:p w14:paraId="5E470008" w14:textId="77777777" w:rsidR="003C59D9" w:rsidRPr="003C59D9" w:rsidRDefault="003C59D9" w:rsidP="003C59D9">
            <w:pPr>
              <w:pStyle w:val="BodyCopy"/>
            </w:pPr>
          </w:p>
        </w:tc>
        <w:tc>
          <w:tcPr>
            <w:tcW w:w="8896" w:type="dxa"/>
          </w:tcPr>
          <w:p w14:paraId="2C8AAF06" w14:textId="5503B42B" w:rsidR="003C59D9" w:rsidRDefault="003C59D9" w:rsidP="003C59D9">
            <w:pPr>
              <w:pStyle w:val="RecommendationTitle"/>
            </w:pPr>
            <w:bookmarkStart w:id="106" w:name="_Toc193726500"/>
            <w:bookmarkStart w:id="107" w:name="_Toc193726516"/>
            <w:r>
              <w:t xml:space="preserve">Recommendation </w:t>
            </w:r>
            <w:r w:rsidR="00857E9C">
              <w:t>3</w:t>
            </w:r>
            <w:bookmarkEnd w:id="106"/>
            <w:bookmarkEnd w:id="107"/>
          </w:p>
          <w:p w14:paraId="64D92D43" w14:textId="78981899" w:rsidR="003C59D9" w:rsidRPr="003C59D9" w:rsidRDefault="002C267F" w:rsidP="003C59D9">
            <w:pPr>
              <w:pStyle w:val="RecommendationBody"/>
            </w:pPr>
            <w:bookmarkStart w:id="108" w:name="_Toc193726501"/>
            <w:bookmarkStart w:id="109" w:name="_Toc193726517"/>
            <w:r w:rsidRPr="001D2D05">
              <w:t>That the government consider implementing regulatory changes to encourage the earlier adoption of low emissions technologies.</w:t>
            </w:r>
            <w:bookmarkEnd w:id="108"/>
            <w:bookmarkEnd w:id="109"/>
          </w:p>
        </w:tc>
      </w:tr>
    </w:tbl>
    <w:p w14:paraId="5C76EDD3" w14:textId="77777777" w:rsidR="002C267F" w:rsidRDefault="00DE089D" w:rsidP="00857E9C">
      <w:pPr>
        <w:pStyle w:val="ChapterBody"/>
      </w:pPr>
      <w:r w:rsidRPr="001D2D05">
        <w:t>As discussed at 2.53, the Property Council, and other stakeholders, recommended the development of energy ratings for existing homes for potential buyers or renters to evaluate</w:t>
      </w:r>
      <w:r w:rsidR="00857E9C">
        <w:t>.</w:t>
      </w:r>
    </w:p>
    <w:p w14:paraId="592FB174" w14:textId="77777777" w:rsidR="00857E9C" w:rsidRDefault="00857E9C" w:rsidP="00857E9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57E9C" w:rsidRPr="00857E9C" w14:paraId="22AF793C" w14:textId="77777777">
        <w:trPr>
          <w:cantSplit/>
        </w:trPr>
        <w:tc>
          <w:tcPr>
            <w:tcW w:w="851" w:type="dxa"/>
          </w:tcPr>
          <w:p w14:paraId="15B78B88" w14:textId="77777777" w:rsidR="00857E9C" w:rsidRPr="00857E9C" w:rsidRDefault="00857E9C" w:rsidP="00857E9C">
            <w:pPr>
              <w:pStyle w:val="BodyCopy"/>
            </w:pPr>
          </w:p>
        </w:tc>
        <w:tc>
          <w:tcPr>
            <w:tcW w:w="8896" w:type="dxa"/>
          </w:tcPr>
          <w:p w14:paraId="07512738" w14:textId="77777777" w:rsidR="00857E9C" w:rsidRDefault="00857E9C" w:rsidP="00857E9C">
            <w:pPr>
              <w:pStyle w:val="RecommendationTitle"/>
            </w:pPr>
            <w:bookmarkStart w:id="110" w:name="_Toc193726502"/>
            <w:bookmarkStart w:id="111" w:name="_Toc193726518"/>
            <w:r>
              <w:t xml:space="preserve">Recommendation </w:t>
            </w:r>
            <w:r>
              <w:fldChar w:fldCharType="begin"/>
            </w:r>
            <w:r>
              <w:instrText xml:space="preserve"> AUTONUMLGL \e  </w:instrText>
            </w:r>
            <w:r>
              <w:fldChar w:fldCharType="end"/>
            </w:r>
            <w:bookmarkEnd w:id="110"/>
            <w:bookmarkEnd w:id="111"/>
          </w:p>
          <w:p w14:paraId="3D709275" w14:textId="0731D882" w:rsidR="00857E9C" w:rsidRPr="00857E9C" w:rsidRDefault="004802EE" w:rsidP="00857E9C">
            <w:pPr>
              <w:pStyle w:val="RecommendationBody"/>
            </w:pPr>
            <w:bookmarkStart w:id="112" w:name="_Toc193726503"/>
            <w:bookmarkStart w:id="113" w:name="_Toc193726519"/>
            <w:r w:rsidRPr="001D2D05">
              <w:t xml:space="preserve">That the government implement changes as discussed at 2.53 </w:t>
            </w:r>
            <w:proofErr w:type="gramStart"/>
            <w:r w:rsidRPr="001D2D05">
              <w:t>in regards to</w:t>
            </w:r>
            <w:proofErr w:type="gramEnd"/>
            <w:r w:rsidRPr="001D2D05">
              <w:t xml:space="preserve"> energy ratings for existing homes that could be disclosed at point of sale or lease to provide buyers or renters information on energy efficiency before making the decision to buy or lease the property.</w:t>
            </w:r>
            <w:bookmarkEnd w:id="112"/>
            <w:bookmarkEnd w:id="113"/>
          </w:p>
        </w:tc>
      </w:tr>
    </w:tbl>
    <w:p w14:paraId="368DCD38" w14:textId="6EFC208E" w:rsidR="005F52AE" w:rsidRDefault="005F52AE" w:rsidP="002A4E93">
      <w:pPr>
        <w:pStyle w:val="BodyCopy"/>
        <w:sectPr w:rsidR="005F52AE" w:rsidSect="005F52AE">
          <w:type w:val="oddPage"/>
          <w:pgSz w:w="11906" w:h="16838" w:code="9"/>
          <w:pgMar w:top="2268" w:right="1134" w:bottom="1134" w:left="1134" w:header="720" w:footer="573" w:gutter="0"/>
          <w:cols w:space="720"/>
          <w:docGrid w:linePitch="360"/>
        </w:sectPr>
      </w:pPr>
    </w:p>
    <w:p w14:paraId="6EAAEF19" w14:textId="77777777" w:rsidR="005F4ECC" w:rsidRDefault="005F4ECC" w:rsidP="005F4ECC">
      <w:pPr>
        <w:pStyle w:val="AppxTitle"/>
        <w:rPr>
          <w:lang w:val="en-US"/>
        </w:rPr>
      </w:pPr>
      <w:bookmarkStart w:id="114" w:name="bmAppendix"/>
      <w:bookmarkStart w:id="115" w:name="_Toc194052258"/>
      <w:bookmarkEnd w:id="114"/>
      <w:r>
        <w:rPr>
          <w:lang w:val="en-US"/>
        </w:rPr>
        <w:lastRenderedPageBreak/>
        <w:t>Submissions</w:t>
      </w:r>
      <w:bookmarkEnd w:id="115"/>
    </w:p>
    <w:tbl>
      <w:tblPr>
        <w:tblStyle w:val="ListTable2"/>
        <w:tblW w:w="5000" w:type="pct"/>
        <w:tblLayout w:type="fixed"/>
        <w:tblLook w:val="0620" w:firstRow="1" w:lastRow="0" w:firstColumn="0" w:lastColumn="0" w:noHBand="1" w:noVBand="1"/>
      </w:tblPr>
      <w:tblGrid>
        <w:gridCol w:w="709"/>
        <w:gridCol w:w="8930"/>
      </w:tblGrid>
      <w:tr w:rsidR="007F49E4" w:rsidRPr="00530E3C" w14:paraId="529D8742" w14:textId="77777777" w:rsidTr="004701C1">
        <w:trPr>
          <w:cnfStyle w:val="100000000000" w:firstRow="1" w:lastRow="0" w:firstColumn="0" w:lastColumn="0" w:oddVBand="0" w:evenVBand="0" w:oddHBand="0" w:evenHBand="0" w:firstRowFirstColumn="0" w:firstRowLastColumn="0" w:lastRowFirstColumn="0" w:lastRowLastColumn="0"/>
          <w:trHeight w:val="340"/>
          <w:tblHeader/>
        </w:trPr>
        <w:tc>
          <w:tcPr>
            <w:tcW w:w="368" w:type="pct"/>
            <w:tcBorders>
              <w:top w:val="single" w:sz="12" w:space="0" w:color="auto"/>
              <w:bottom w:val="single" w:sz="12" w:space="0" w:color="auto"/>
            </w:tcBorders>
            <w:vAlign w:val="center"/>
          </w:tcPr>
          <w:p w14:paraId="2EA385D9" w14:textId="77777777" w:rsidR="007F49E4" w:rsidRPr="00530E3C" w:rsidRDefault="007F49E4" w:rsidP="004701C1">
            <w:pPr>
              <w:rPr>
                <w:rFonts w:cs="Calibri"/>
                <w:sz w:val="24"/>
                <w:szCs w:val="24"/>
                <w:lang w:eastAsia="en-AU"/>
              </w:rPr>
            </w:pPr>
            <w:r w:rsidRPr="00530E3C">
              <w:rPr>
                <w:rFonts w:cs="Calibri"/>
                <w:sz w:val="24"/>
                <w:szCs w:val="24"/>
                <w:lang w:eastAsia="en-AU"/>
              </w:rPr>
              <w:t>No.</w:t>
            </w:r>
          </w:p>
        </w:tc>
        <w:tc>
          <w:tcPr>
            <w:tcW w:w="4632" w:type="pct"/>
            <w:tcBorders>
              <w:top w:val="single" w:sz="12" w:space="0" w:color="auto"/>
              <w:bottom w:val="single" w:sz="12" w:space="0" w:color="auto"/>
            </w:tcBorders>
            <w:vAlign w:val="center"/>
          </w:tcPr>
          <w:p w14:paraId="5252A1BC" w14:textId="77777777" w:rsidR="007F49E4" w:rsidRPr="00530E3C" w:rsidRDefault="007F49E4" w:rsidP="004701C1">
            <w:pPr>
              <w:rPr>
                <w:rFonts w:cs="Calibri"/>
                <w:sz w:val="24"/>
                <w:szCs w:val="24"/>
                <w:lang w:eastAsia="en-AU"/>
              </w:rPr>
            </w:pPr>
            <w:r w:rsidRPr="00530E3C">
              <w:rPr>
                <w:rFonts w:cs="Calibri"/>
                <w:sz w:val="24"/>
                <w:szCs w:val="24"/>
                <w:lang w:eastAsia="en-AU"/>
              </w:rPr>
              <w:t>Author</w:t>
            </w:r>
          </w:p>
        </w:tc>
      </w:tr>
      <w:tr w:rsidR="007F49E4" w:rsidRPr="00530E3C" w14:paraId="4BEA61B3" w14:textId="77777777" w:rsidTr="004701C1">
        <w:trPr>
          <w:trHeight w:val="340"/>
        </w:trPr>
        <w:tc>
          <w:tcPr>
            <w:tcW w:w="368" w:type="pct"/>
            <w:tcBorders>
              <w:top w:val="single" w:sz="12" w:space="0" w:color="auto"/>
            </w:tcBorders>
            <w:vAlign w:val="center"/>
            <w:hideMark/>
          </w:tcPr>
          <w:p w14:paraId="005AC440" w14:textId="77777777" w:rsidR="007F49E4" w:rsidRPr="00530E3C" w:rsidRDefault="007F49E4" w:rsidP="004701C1">
            <w:pPr>
              <w:rPr>
                <w:rFonts w:cs="Calibri"/>
                <w:sz w:val="24"/>
                <w:szCs w:val="24"/>
                <w:lang w:eastAsia="en-AU"/>
              </w:rPr>
            </w:pPr>
            <w:r w:rsidRPr="00530E3C">
              <w:rPr>
                <w:rFonts w:cs="Calibri"/>
                <w:sz w:val="24"/>
                <w:szCs w:val="24"/>
                <w:lang w:eastAsia="en-AU"/>
              </w:rPr>
              <w:t>1</w:t>
            </w:r>
          </w:p>
        </w:tc>
        <w:tc>
          <w:tcPr>
            <w:tcW w:w="4632" w:type="pct"/>
            <w:tcBorders>
              <w:top w:val="single" w:sz="12" w:space="0" w:color="auto"/>
            </w:tcBorders>
            <w:vAlign w:val="center"/>
            <w:hideMark/>
          </w:tcPr>
          <w:p w14:paraId="3527737D" w14:textId="3875E58E" w:rsidR="007F49E4" w:rsidRPr="00530E3C" w:rsidRDefault="007F49E4" w:rsidP="004701C1">
            <w:pPr>
              <w:rPr>
                <w:rFonts w:cs="Calibri"/>
                <w:sz w:val="24"/>
                <w:szCs w:val="24"/>
                <w:lang w:eastAsia="en-AU"/>
              </w:rPr>
            </w:pPr>
            <w:r w:rsidRPr="00530E3C">
              <w:rPr>
                <w:rFonts w:cs="Calibri"/>
                <w:sz w:val="24"/>
                <w:szCs w:val="24"/>
                <w:lang w:eastAsia="en-AU"/>
              </w:rPr>
              <w:t>Citizens</w:t>
            </w:r>
            <w:r w:rsidR="00CA3608">
              <w:rPr>
                <w:rFonts w:cs="Calibri"/>
                <w:sz w:val="24"/>
                <w:szCs w:val="24"/>
                <w:lang w:eastAsia="en-AU"/>
              </w:rPr>
              <w:t>’</w:t>
            </w:r>
            <w:r w:rsidRPr="00530E3C">
              <w:rPr>
                <w:rFonts w:cs="Calibri"/>
                <w:sz w:val="24"/>
                <w:szCs w:val="24"/>
                <w:lang w:eastAsia="en-AU"/>
              </w:rPr>
              <w:t xml:space="preserve"> Climate Lobby Australia</w:t>
            </w:r>
          </w:p>
        </w:tc>
      </w:tr>
      <w:tr w:rsidR="007F49E4" w:rsidRPr="00530E3C" w14:paraId="5CC357F5" w14:textId="77777777" w:rsidTr="004701C1">
        <w:trPr>
          <w:trHeight w:val="340"/>
        </w:trPr>
        <w:tc>
          <w:tcPr>
            <w:tcW w:w="368" w:type="pct"/>
            <w:vAlign w:val="center"/>
            <w:hideMark/>
          </w:tcPr>
          <w:p w14:paraId="79B2EDFC" w14:textId="77777777" w:rsidR="007F49E4" w:rsidRPr="00530E3C" w:rsidRDefault="007F49E4" w:rsidP="004701C1">
            <w:pPr>
              <w:rPr>
                <w:rFonts w:cs="Calibri"/>
                <w:sz w:val="24"/>
                <w:szCs w:val="24"/>
                <w:lang w:eastAsia="en-AU"/>
              </w:rPr>
            </w:pPr>
            <w:r w:rsidRPr="00530E3C">
              <w:rPr>
                <w:rFonts w:cs="Calibri"/>
                <w:sz w:val="24"/>
                <w:szCs w:val="24"/>
                <w:lang w:eastAsia="en-AU"/>
              </w:rPr>
              <w:t>2</w:t>
            </w:r>
          </w:p>
        </w:tc>
        <w:tc>
          <w:tcPr>
            <w:tcW w:w="4632" w:type="pct"/>
            <w:vAlign w:val="center"/>
            <w:hideMark/>
          </w:tcPr>
          <w:p w14:paraId="6060D435" w14:textId="77777777" w:rsidR="007F49E4" w:rsidRPr="00530E3C" w:rsidRDefault="007F49E4" w:rsidP="004701C1">
            <w:pPr>
              <w:rPr>
                <w:rFonts w:cs="Calibri"/>
                <w:sz w:val="24"/>
                <w:szCs w:val="24"/>
                <w:lang w:eastAsia="en-AU"/>
              </w:rPr>
            </w:pPr>
            <w:r w:rsidRPr="00530E3C">
              <w:rPr>
                <w:rFonts w:cs="Calibri"/>
                <w:sz w:val="24"/>
                <w:szCs w:val="24"/>
                <w:lang w:eastAsia="en-AU"/>
              </w:rPr>
              <w:t>Mr John Edwards</w:t>
            </w:r>
          </w:p>
        </w:tc>
      </w:tr>
      <w:tr w:rsidR="007F49E4" w:rsidRPr="00530E3C" w14:paraId="718D484B" w14:textId="77777777" w:rsidTr="004701C1">
        <w:trPr>
          <w:trHeight w:val="340"/>
        </w:trPr>
        <w:tc>
          <w:tcPr>
            <w:tcW w:w="368" w:type="pct"/>
            <w:vAlign w:val="center"/>
            <w:hideMark/>
          </w:tcPr>
          <w:p w14:paraId="4D123E20" w14:textId="77777777" w:rsidR="007F49E4" w:rsidRPr="00530E3C" w:rsidRDefault="007F49E4" w:rsidP="004701C1">
            <w:pPr>
              <w:rPr>
                <w:rFonts w:cs="Calibri"/>
                <w:sz w:val="24"/>
                <w:szCs w:val="24"/>
                <w:lang w:eastAsia="en-AU"/>
              </w:rPr>
            </w:pPr>
            <w:r w:rsidRPr="00530E3C">
              <w:rPr>
                <w:rFonts w:cs="Calibri"/>
                <w:sz w:val="24"/>
                <w:szCs w:val="24"/>
                <w:lang w:eastAsia="en-AU"/>
              </w:rPr>
              <w:t>3</w:t>
            </w:r>
          </w:p>
        </w:tc>
        <w:tc>
          <w:tcPr>
            <w:tcW w:w="4632" w:type="pct"/>
            <w:vAlign w:val="center"/>
            <w:hideMark/>
          </w:tcPr>
          <w:p w14:paraId="4FE62F96" w14:textId="77777777" w:rsidR="007F49E4" w:rsidRPr="00530E3C" w:rsidRDefault="007F49E4" w:rsidP="004701C1">
            <w:pPr>
              <w:rPr>
                <w:rFonts w:cs="Calibri"/>
                <w:sz w:val="24"/>
                <w:szCs w:val="24"/>
                <w:lang w:eastAsia="en-AU"/>
              </w:rPr>
            </w:pPr>
            <w:r w:rsidRPr="00530E3C">
              <w:rPr>
                <w:rFonts w:cs="Calibri"/>
                <w:sz w:val="24"/>
                <w:szCs w:val="24"/>
                <w:lang w:eastAsia="en-AU"/>
              </w:rPr>
              <w:t>Nimbin Environment Centre</w:t>
            </w:r>
          </w:p>
        </w:tc>
      </w:tr>
      <w:tr w:rsidR="007F49E4" w:rsidRPr="00530E3C" w14:paraId="452CA941" w14:textId="77777777" w:rsidTr="004701C1">
        <w:trPr>
          <w:trHeight w:val="340"/>
        </w:trPr>
        <w:tc>
          <w:tcPr>
            <w:tcW w:w="368" w:type="pct"/>
            <w:vAlign w:val="center"/>
            <w:hideMark/>
          </w:tcPr>
          <w:p w14:paraId="541B4813" w14:textId="77777777" w:rsidR="007F49E4" w:rsidRPr="00530E3C" w:rsidRDefault="007F49E4" w:rsidP="004701C1">
            <w:pPr>
              <w:rPr>
                <w:rFonts w:cs="Calibri"/>
                <w:sz w:val="24"/>
                <w:szCs w:val="24"/>
                <w:lang w:eastAsia="en-AU"/>
              </w:rPr>
            </w:pPr>
            <w:r w:rsidRPr="00530E3C">
              <w:rPr>
                <w:rFonts w:cs="Calibri"/>
                <w:sz w:val="24"/>
                <w:szCs w:val="24"/>
                <w:lang w:eastAsia="en-AU"/>
              </w:rPr>
              <w:t>4</w:t>
            </w:r>
          </w:p>
        </w:tc>
        <w:tc>
          <w:tcPr>
            <w:tcW w:w="4632" w:type="pct"/>
            <w:vAlign w:val="center"/>
            <w:hideMark/>
          </w:tcPr>
          <w:p w14:paraId="35A8F139" w14:textId="77777777" w:rsidR="007F49E4" w:rsidRPr="00530E3C" w:rsidRDefault="007F49E4" w:rsidP="004701C1">
            <w:pPr>
              <w:rPr>
                <w:rFonts w:cs="Calibri"/>
                <w:sz w:val="24"/>
                <w:szCs w:val="24"/>
                <w:lang w:eastAsia="en-AU"/>
              </w:rPr>
            </w:pPr>
            <w:r w:rsidRPr="00530E3C">
              <w:rPr>
                <w:rFonts w:cs="Calibri"/>
                <w:sz w:val="24"/>
                <w:szCs w:val="24"/>
                <w:lang w:eastAsia="en-AU"/>
              </w:rPr>
              <w:t xml:space="preserve">Barry </w:t>
            </w:r>
            <w:proofErr w:type="spellStart"/>
            <w:r w:rsidRPr="00530E3C">
              <w:rPr>
                <w:rFonts w:cs="Calibri"/>
                <w:sz w:val="24"/>
                <w:szCs w:val="24"/>
                <w:lang w:eastAsia="en-AU"/>
              </w:rPr>
              <w:t>Hadaway</w:t>
            </w:r>
            <w:proofErr w:type="spellEnd"/>
          </w:p>
        </w:tc>
      </w:tr>
      <w:tr w:rsidR="007F49E4" w:rsidRPr="00530E3C" w14:paraId="6411F323" w14:textId="77777777" w:rsidTr="004701C1">
        <w:trPr>
          <w:trHeight w:val="340"/>
        </w:trPr>
        <w:tc>
          <w:tcPr>
            <w:tcW w:w="368" w:type="pct"/>
            <w:vAlign w:val="center"/>
            <w:hideMark/>
          </w:tcPr>
          <w:p w14:paraId="5D65EE24" w14:textId="77777777" w:rsidR="007F49E4" w:rsidRPr="00530E3C" w:rsidRDefault="007F49E4" w:rsidP="004701C1">
            <w:pPr>
              <w:rPr>
                <w:rFonts w:cs="Calibri"/>
                <w:sz w:val="24"/>
                <w:szCs w:val="24"/>
                <w:lang w:eastAsia="en-AU"/>
              </w:rPr>
            </w:pPr>
            <w:r w:rsidRPr="00530E3C">
              <w:rPr>
                <w:rFonts w:cs="Calibri"/>
                <w:sz w:val="24"/>
                <w:szCs w:val="24"/>
                <w:lang w:eastAsia="en-AU"/>
              </w:rPr>
              <w:t>5</w:t>
            </w:r>
          </w:p>
        </w:tc>
        <w:tc>
          <w:tcPr>
            <w:tcW w:w="4632" w:type="pct"/>
            <w:vAlign w:val="center"/>
            <w:hideMark/>
          </w:tcPr>
          <w:p w14:paraId="2A6DB884" w14:textId="77777777" w:rsidR="007F49E4" w:rsidRPr="00530E3C" w:rsidRDefault="007F49E4" w:rsidP="004701C1">
            <w:pPr>
              <w:rPr>
                <w:rFonts w:cs="Calibri"/>
                <w:sz w:val="24"/>
                <w:szCs w:val="24"/>
                <w:lang w:eastAsia="en-AU"/>
              </w:rPr>
            </w:pPr>
            <w:r w:rsidRPr="00530E3C">
              <w:rPr>
                <w:rFonts w:cs="Calibri"/>
                <w:sz w:val="24"/>
                <w:szCs w:val="24"/>
                <w:lang w:eastAsia="en-AU"/>
              </w:rPr>
              <w:t>Healthy Futures</w:t>
            </w:r>
          </w:p>
        </w:tc>
      </w:tr>
      <w:tr w:rsidR="007F49E4" w:rsidRPr="00530E3C" w14:paraId="4983AA9C" w14:textId="77777777" w:rsidTr="004701C1">
        <w:trPr>
          <w:trHeight w:val="340"/>
        </w:trPr>
        <w:tc>
          <w:tcPr>
            <w:tcW w:w="368" w:type="pct"/>
            <w:vAlign w:val="center"/>
            <w:hideMark/>
          </w:tcPr>
          <w:p w14:paraId="1FA965ED" w14:textId="77777777" w:rsidR="007F49E4" w:rsidRPr="00530E3C" w:rsidRDefault="007F49E4" w:rsidP="004701C1">
            <w:pPr>
              <w:rPr>
                <w:rFonts w:cs="Calibri"/>
                <w:sz w:val="24"/>
                <w:szCs w:val="24"/>
                <w:lang w:eastAsia="en-AU"/>
              </w:rPr>
            </w:pPr>
            <w:r w:rsidRPr="00530E3C">
              <w:rPr>
                <w:rFonts w:cs="Calibri"/>
                <w:sz w:val="24"/>
                <w:szCs w:val="24"/>
                <w:lang w:eastAsia="en-AU"/>
              </w:rPr>
              <w:t>5a</w:t>
            </w:r>
          </w:p>
        </w:tc>
        <w:tc>
          <w:tcPr>
            <w:tcW w:w="4632" w:type="pct"/>
            <w:vAlign w:val="center"/>
            <w:hideMark/>
          </w:tcPr>
          <w:p w14:paraId="40B7F144" w14:textId="77777777" w:rsidR="007F49E4" w:rsidRPr="00530E3C" w:rsidRDefault="007F49E4" w:rsidP="004701C1">
            <w:pPr>
              <w:rPr>
                <w:rFonts w:cs="Calibri"/>
                <w:sz w:val="24"/>
                <w:szCs w:val="24"/>
                <w:lang w:eastAsia="en-AU"/>
              </w:rPr>
            </w:pPr>
            <w:r w:rsidRPr="00530E3C">
              <w:rPr>
                <w:rFonts w:cs="Calibri"/>
                <w:sz w:val="24"/>
                <w:szCs w:val="24"/>
                <w:lang w:eastAsia="en-AU"/>
              </w:rPr>
              <w:t>Healthy Futures</w:t>
            </w:r>
          </w:p>
        </w:tc>
      </w:tr>
      <w:tr w:rsidR="007F49E4" w:rsidRPr="00530E3C" w14:paraId="2BD290B9" w14:textId="77777777" w:rsidTr="004701C1">
        <w:trPr>
          <w:trHeight w:val="340"/>
        </w:trPr>
        <w:tc>
          <w:tcPr>
            <w:tcW w:w="368" w:type="pct"/>
            <w:vAlign w:val="center"/>
            <w:hideMark/>
          </w:tcPr>
          <w:p w14:paraId="5B34F611" w14:textId="77777777" w:rsidR="007F49E4" w:rsidRPr="00530E3C" w:rsidRDefault="007F49E4" w:rsidP="004701C1">
            <w:pPr>
              <w:rPr>
                <w:rFonts w:cs="Calibri"/>
                <w:sz w:val="24"/>
                <w:szCs w:val="24"/>
                <w:lang w:eastAsia="en-AU"/>
              </w:rPr>
            </w:pPr>
            <w:r w:rsidRPr="00530E3C">
              <w:rPr>
                <w:rFonts w:cs="Calibri"/>
                <w:sz w:val="24"/>
                <w:szCs w:val="24"/>
                <w:lang w:eastAsia="en-AU"/>
              </w:rPr>
              <w:t>6</w:t>
            </w:r>
          </w:p>
        </w:tc>
        <w:tc>
          <w:tcPr>
            <w:tcW w:w="4632" w:type="pct"/>
            <w:vAlign w:val="center"/>
            <w:hideMark/>
          </w:tcPr>
          <w:p w14:paraId="19D0CA63" w14:textId="77777777" w:rsidR="007F49E4" w:rsidRPr="00530E3C" w:rsidRDefault="007F49E4" w:rsidP="004701C1">
            <w:pPr>
              <w:rPr>
                <w:rFonts w:cs="Calibri"/>
                <w:sz w:val="24"/>
                <w:szCs w:val="24"/>
                <w:lang w:eastAsia="en-AU"/>
              </w:rPr>
            </w:pPr>
            <w:r w:rsidRPr="00530E3C">
              <w:rPr>
                <w:rFonts w:cs="Calibri"/>
                <w:sz w:val="24"/>
                <w:szCs w:val="24"/>
                <w:lang w:eastAsia="en-AU"/>
              </w:rPr>
              <w:t xml:space="preserve">Derek </w:t>
            </w:r>
            <w:proofErr w:type="spellStart"/>
            <w:r w:rsidRPr="00530E3C">
              <w:rPr>
                <w:rFonts w:cs="Calibri"/>
                <w:sz w:val="24"/>
                <w:szCs w:val="24"/>
                <w:lang w:eastAsia="en-AU"/>
              </w:rPr>
              <w:t>Finter</w:t>
            </w:r>
            <w:proofErr w:type="spellEnd"/>
          </w:p>
        </w:tc>
      </w:tr>
      <w:tr w:rsidR="007F49E4" w:rsidRPr="00530E3C" w14:paraId="3B09DA2C" w14:textId="77777777" w:rsidTr="004701C1">
        <w:trPr>
          <w:trHeight w:val="340"/>
        </w:trPr>
        <w:tc>
          <w:tcPr>
            <w:tcW w:w="368" w:type="pct"/>
            <w:vAlign w:val="center"/>
            <w:hideMark/>
          </w:tcPr>
          <w:p w14:paraId="4806D110" w14:textId="77777777" w:rsidR="007F49E4" w:rsidRPr="00530E3C" w:rsidRDefault="007F49E4" w:rsidP="004701C1">
            <w:pPr>
              <w:rPr>
                <w:rFonts w:cs="Calibri"/>
                <w:sz w:val="24"/>
                <w:szCs w:val="24"/>
                <w:lang w:eastAsia="en-AU"/>
              </w:rPr>
            </w:pPr>
            <w:r w:rsidRPr="00530E3C">
              <w:rPr>
                <w:rFonts w:cs="Calibri"/>
                <w:sz w:val="24"/>
                <w:szCs w:val="24"/>
                <w:lang w:eastAsia="en-AU"/>
              </w:rPr>
              <w:t>7</w:t>
            </w:r>
          </w:p>
        </w:tc>
        <w:tc>
          <w:tcPr>
            <w:tcW w:w="4632" w:type="pct"/>
            <w:vAlign w:val="center"/>
            <w:hideMark/>
          </w:tcPr>
          <w:p w14:paraId="488F3412" w14:textId="77777777" w:rsidR="007F49E4" w:rsidRPr="00530E3C" w:rsidRDefault="007F49E4" w:rsidP="004701C1">
            <w:pPr>
              <w:rPr>
                <w:rFonts w:cs="Calibri"/>
                <w:sz w:val="24"/>
                <w:szCs w:val="24"/>
                <w:lang w:eastAsia="en-AU"/>
              </w:rPr>
            </w:pPr>
            <w:proofErr w:type="gramStart"/>
            <w:r w:rsidRPr="00530E3C">
              <w:rPr>
                <w:rFonts w:cs="Calibri"/>
                <w:sz w:val="24"/>
                <w:szCs w:val="24"/>
                <w:lang w:eastAsia="en-AU"/>
              </w:rPr>
              <w:t>North East</w:t>
            </w:r>
            <w:proofErr w:type="gramEnd"/>
            <w:r w:rsidRPr="00530E3C">
              <w:rPr>
                <w:rFonts w:cs="Calibri"/>
                <w:sz w:val="24"/>
                <w:szCs w:val="24"/>
                <w:lang w:eastAsia="en-AU"/>
              </w:rPr>
              <w:t xml:space="preserve"> Forest Alliance</w:t>
            </w:r>
          </w:p>
        </w:tc>
      </w:tr>
      <w:tr w:rsidR="007F49E4" w:rsidRPr="00530E3C" w14:paraId="75DF63D8" w14:textId="77777777" w:rsidTr="004701C1">
        <w:trPr>
          <w:trHeight w:val="340"/>
        </w:trPr>
        <w:tc>
          <w:tcPr>
            <w:tcW w:w="368" w:type="pct"/>
            <w:vAlign w:val="center"/>
            <w:hideMark/>
          </w:tcPr>
          <w:p w14:paraId="040396F1" w14:textId="77777777" w:rsidR="007F49E4" w:rsidRPr="00530E3C" w:rsidRDefault="007F49E4" w:rsidP="004701C1">
            <w:pPr>
              <w:rPr>
                <w:rFonts w:cs="Calibri"/>
                <w:sz w:val="24"/>
                <w:szCs w:val="24"/>
                <w:lang w:eastAsia="en-AU"/>
              </w:rPr>
            </w:pPr>
            <w:r w:rsidRPr="00530E3C">
              <w:rPr>
                <w:rFonts w:cs="Calibri"/>
                <w:sz w:val="24"/>
                <w:szCs w:val="24"/>
                <w:lang w:eastAsia="en-AU"/>
              </w:rPr>
              <w:t>8</w:t>
            </w:r>
          </w:p>
        </w:tc>
        <w:tc>
          <w:tcPr>
            <w:tcW w:w="4632" w:type="pct"/>
            <w:vAlign w:val="center"/>
            <w:hideMark/>
          </w:tcPr>
          <w:p w14:paraId="18C23D92" w14:textId="77777777" w:rsidR="007F49E4" w:rsidRPr="00530E3C" w:rsidRDefault="007F49E4" w:rsidP="004701C1">
            <w:pPr>
              <w:rPr>
                <w:rFonts w:cs="Calibri"/>
                <w:sz w:val="24"/>
                <w:szCs w:val="24"/>
                <w:lang w:eastAsia="en-AU"/>
              </w:rPr>
            </w:pPr>
            <w:r w:rsidRPr="00530E3C">
              <w:rPr>
                <w:rFonts w:cs="Calibri"/>
                <w:sz w:val="24"/>
                <w:szCs w:val="24"/>
                <w:lang w:eastAsia="en-AU"/>
              </w:rPr>
              <w:t>Mr Stephen Morris</w:t>
            </w:r>
          </w:p>
        </w:tc>
      </w:tr>
      <w:tr w:rsidR="007F49E4" w:rsidRPr="00530E3C" w14:paraId="0208F5D6" w14:textId="77777777" w:rsidTr="004701C1">
        <w:trPr>
          <w:trHeight w:val="340"/>
        </w:trPr>
        <w:tc>
          <w:tcPr>
            <w:tcW w:w="368" w:type="pct"/>
            <w:vAlign w:val="center"/>
            <w:hideMark/>
          </w:tcPr>
          <w:p w14:paraId="16063F7F" w14:textId="77777777" w:rsidR="007F49E4" w:rsidRPr="00530E3C" w:rsidRDefault="007F49E4" w:rsidP="004701C1">
            <w:pPr>
              <w:rPr>
                <w:rFonts w:cs="Calibri"/>
                <w:sz w:val="24"/>
                <w:szCs w:val="24"/>
                <w:lang w:eastAsia="en-AU"/>
              </w:rPr>
            </w:pPr>
            <w:r w:rsidRPr="00530E3C">
              <w:rPr>
                <w:rFonts w:cs="Calibri"/>
                <w:sz w:val="24"/>
                <w:szCs w:val="24"/>
                <w:lang w:eastAsia="en-AU"/>
              </w:rPr>
              <w:t>9</w:t>
            </w:r>
          </w:p>
        </w:tc>
        <w:tc>
          <w:tcPr>
            <w:tcW w:w="4632" w:type="pct"/>
            <w:vAlign w:val="center"/>
            <w:hideMark/>
          </w:tcPr>
          <w:p w14:paraId="08BE9F84" w14:textId="77777777" w:rsidR="007F49E4" w:rsidRPr="00530E3C" w:rsidRDefault="007F49E4" w:rsidP="004701C1">
            <w:pPr>
              <w:rPr>
                <w:rFonts w:cs="Calibri"/>
                <w:sz w:val="24"/>
                <w:szCs w:val="24"/>
                <w:lang w:eastAsia="en-AU"/>
              </w:rPr>
            </w:pPr>
            <w:r w:rsidRPr="00530E3C">
              <w:rPr>
                <w:rFonts w:cs="Calibri"/>
                <w:sz w:val="24"/>
                <w:szCs w:val="24"/>
                <w:lang w:eastAsia="en-AU"/>
              </w:rPr>
              <w:t>Ms Sharyn Munro</w:t>
            </w:r>
          </w:p>
        </w:tc>
      </w:tr>
      <w:tr w:rsidR="007F49E4" w:rsidRPr="00530E3C" w14:paraId="334C8FBB" w14:textId="77777777" w:rsidTr="004701C1">
        <w:trPr>
          <w:trHeight w:val="340"/>
        </w:trPr>
        <w:tc>
          <w:tcPr>
            <w:tcW w:w="368" w:type="pct"/>
            <w:vAlign w:val="center"/>
            <w:hideMark/>
          </w:tcPr>
          <w:p w14:paraId="2CCBBF1A" w14:textId="77777777" w:rsidR="007F49E4" w:rsidRPr="00530E3C" w:rsidRDefault="007F49E4" w:rsidP="004701C1">
            <w:pPr>
              <w:rPr>
                <w:rFonts w:cs="Calibri"/>
                <w:sz w:val="24"/>
                <w:szCs w:val="24"/>
                <w:lang w:eastAsia="en-AU"/>
              </w:rPr>
            </w:pPr>
            <w:r w:rsidRPr="00530E3C">
              <w:rPr>
                <w:rFonts w:cs="Calibri"/>
                <w:sz w:val="24"/>
                <w:szCs w:val="24"/>
                <w:lang w:eastAsia="en-AU"/>
              </w:rPr>
              <w:t>10</w:t>
            </w:r>
          </w:p>
        </w:tc>
        <w:tc>
          <w:tcPr>
            <w:tcW w:w="4632" w:type="pct"/>
            <w:noWrap/>
            <w:vAlign w:val="center"/>
            <w:hideMark/>
          </w:tcPr>
          <w:p w14:paraId="1F6F104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Dr Claudia Koller</w:t>
            </w:r>
          </w:p>
        </w:tc>
      </w:tr>
      <w:tr w:rsidR="007F49E4" w:rsidRPr="00530E3C" w14:paraId="3314C504" w14:textId="77777777" w:rsidTr="004701C1">
        <w:trPr>
          <w:trHeight w:val="340"/>
        </w:trPr>
        <w:tc>
          <w:tcPr>
            <w:tcW w:w="368" w:type="pct"/>
            <w:vAlign w:val="center"/>
            <w:hideMark/>
          </w:tcPr>
          <w:p w14:paraId="1B32BACD" w14:textId="77777777" w:rsidR="007F49E4" w:rsidRPr="00530E3C" w:rsidRDefault="007F49E4" w:rsidP="004701C1">
            <w:pPr>
              <w:rPr>
                <w:rFonts w:cs="Calibri"/>
                <w:sz w:val="24"/>
                <w:szCs w:val="24"/>
                <w:lang w:eastAsia="en-AU"/>
              </w:rPr>
            </w:pPr>
            <w:r w:rsidRPr="00530E3C">
              <w:rPr>
                <w:rFonts w:cs="Calibri"/>
                <w:sz w:val="24"/>
                <w:szCs w:val="24"/>
                <w:lang w:eastAsia="en-AU"/>
              </w:rPr>
              <w:t>11</w:t>
            </w:r>
          </w:p>
        </w:tc>
        <w:tc>
          <w:tcPr>
            <w:tcW w:w="4632" w:type="pct"/>
            <w:noWrap/>
            <w:vAlign w:val="center"/>
            <w:hideMark/>
          </w:tcPr>
          <w:p w14:paraId="043507F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Rev Janet Dawson</w:t>
            </w:r>
          </w:p>
        </w:tc>
      </w:tr>
      <w:tr w:rsidR="007F49E4" w:rsidRPr="00530E3C" w14:paraId="42AAC7D3" w14:textId="77777777" w:rsidTr="004701C1">
        <w:trPr>
          <w:trHeight w:val="340"/>
        </w:trPr>
        <w:tc>
          <w:tcPr>
            <w:tcW w:w="368" w:type="pct"/>
            <w:vAlign w:val="center"/>
            <w:hideMark/>
          </w:tcPr>
          <w:p w14:paraId="3ED70485" w14:textId="77777777" w:rsidR="007F49E4" w:rsidRPr="00530E3C" w:rsidRDefault="007F49E4" w:rsidP="004701C1">
            <w:pPr>
              <w:rPr>
                <w:rFonts w:cs="Calibri"/>
                <w:sz w:val="24"/>
                <w:szCs w:val="24"/>
                <w:lang w:eastAsia="en-AU"/>
              </w:rPr>
            </w:pPr>
            <w:r w:rsidRPr="00530E3C">
              <w:rPr>
                <w:rFonts w:cs="Calibri"/>
                <w:sz w:val="24"/>
                <w:szCs w:val="24"/>
                <w:lang w:eastAsia="en-AU"/>
              </w:rPr>
              <w:t>12</w:t>
            </w:r>
          </w:p>
        </w:tc>
        <w:tc>
          <w:tcPr>
            <w:tcW w:w="4632" w:type="pct"/>
            <w:noWrap/>
            <w:vAlign w:val="center"/>
            <w:hideMark/>
          </w:tcPr>
          <w:p w14:paraId="59D52E0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Hunter Jobs Alliance</w:t>
            </w:r>
          </w:p>
        </w:tc>
      </w:tr>
      <w:tr w:rsidR="007F49E4" w:rsidRPr="00530E3C" w14:paraId="56BA0C7D" w14:textId="77777777" w:rsidTr="004701C1">
        <w:trPr>
          <w:trHeight w:val="340"/>
        </w:trPr>
        <w:tc>
          <w:tcPr>
            <w:tcW w:w="368" w:type="pct"/>
            <w:vAlign w:val="center"/>
            <w:hideMark/>
          </w:tcPr>
          <w:p w14:paraId="2CC0CF1B" w14:textId="77777777" w:rsidR="007F49E4" w:rsidRPr="00530E3C" w:rsidRDefault="007F49E4" w:rsidP="004701C1">
            <w:pPr>
              <w:rPr>
                <w:rFonts w:cs="Calibri"/>
                <w:sz w:val="24"/>
                <w:szCs w:val="24"/>
                <w:lang w:eastAsia="en-AU"/>
              </w:rPr>
            </w:pPr>
            <w:r w:rsidRPr="00530E3C">
              <w:rPr>
                <w:rFonts w:cs="Calibri"/>
                <w:sz w:val="24"/>
                <w:szCs w:val="24"/>
                <w:lang w:eastAsia="en-AU"/>
              </w:rPr>
              <w:t>13</w:t>
            </w:r>
          </w:p>
        </w:tc>
        <w:tc>
          <w:tcPr>
            <w:tcW w:w="4632" w:type="pct"/>
            <w:noWrap/>
            <w:vAlign w:val="center"/>
            <w:hideMark/>
          </w:tcPr>
          <w:p w14:paraId="7BD6166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Mrs Meg K Nielsen</w:t>
            </w:r>
          </w:p>
        </w:tc>
      </w:tr>
      <w:tr w:rsidR="007F49E4" w:rsidRPr="00530E3C" w14:paraId="6191CBD2" w14:textId="77777777" w:rsidTr="004701C1">
        <w:trPr>
          <w:trHeight w:val="340"/>
        </w:trPr>
        <w:tc>
          <w:tcPr>
            <w:tcW w:w="368" w:type="pct"/>
            <w:vAlign w:val="center"/>
            <w:hideMark/>
          </w:tcPr>
          <w:p w14:paraId="3A7E00C3" w14:textId="77777777" w:rsidR="007F49E4" w:rsidRPr="00530E3C" w:rsidRDefault="007F49E4" w:rsidP="004701C1">
            <w:pPr>
              <w:rPr>
                <w:rFonts w:cs="Calibri"/>
                <w:sz w:val="24"/>
                <w:szCs w:val="24"/>
                <w:lang w:eastAsia="en-AU"/>
              </w:rPr>
            </w:pPr>
            <w:r w:rsidRPr="00530E3C">
              <w:rPr>
                <w:rFonts w:cs="Calibri"/>
                <w:sz w:val="24"/>
                <w:szCs w:val="24"/>
                <w:lang w:eastAsia="en-AU"/>
              </w:rPr>
              <w:t>14</w:t>
            </w:r>
          </w:p>
        </w:tc>
        <w:tc>
          <w:tcPr>
            <w:tcW w:w="4632" w:type="pct"/>
            <w:noWrap/>
            <w:vAlign w:val="center"/>
            <w:hideMark/>
          </w:tcPr>
          <w:p w14:paraId="0EEFFB2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Doctors for the Environment</w:t>
            </w:r>
          </w:p>
        </w:tc>
      </w:tr>
      <w:tr w:rsidR="007F49E4" w:rsidRPr="00530E3C" w14:paraId="15648ABE" w14:textId="77777777" w:rsidTr="004701C1">
        <w:trPr>
          <w:trHeight w:val="340"/>
        </w:trPr>
        <w:tc>
          <w:tcPr>
            <w:tcW w:w="368" w:type="pct"/>
            <w:vAlign w:val="center"/>
            <w:hideMark/>
          </w:tcPr>
          <w:p w14:paraId="31452955" w14:textId="77777777" w:rsidR="007F49E4" w:rsidRPr="00530E3C" w:rsidRDefault="007F49E4" w:rsidP="004701C1">
            <w:pPr>
              <w:rPr>
                <w:rFonts w:cs="Calibri"/>
                <w:sz w:val="24"/>
                <w:szCs w:val="24"/>
                <w:lang w:eastAsia="en-AU"/>
              </w:rPr>
            </w:pPr>
            <w:r w:rsidRPr="00530E3C">
              <w:rPr>
                <w:rFonts w:cs="Calibri"/>
                <w:sz w:val="24"/>
                <w:szCs w:val="24"/>
                <w:lang w:eastAsia="en-AU"/>
              </w:rPr>
              <w:t>15</w:t>
            </w:r>
          </w:p>
        </w:tc>
        <w:tc>
          <w:tcPr>
            <w:tcW w:w="4632" w:type="pct"/>
            <w:noWrap/>
            <w:vAlign w:val="center"/>
            <w:hideMark/>
          </w:tcPr>
          <w:p w14:paraId="454F66E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432AF246" w14:textId="77777777" w:rsidTr="004701C1">
        <w:trPr>
          <w:trHeight w:val="340"/>
        </w:trPr>
        <w:tc>
          <w:tcPr>
            <w:tcW w:w="368" w:type="pct"/>
            <w:vAlign w:val="center"/>
            <w:hideMark/>
          </w:tcPr>
          <w:p w14:paraId="4D2B4DD3" w14:textId="77777777" w:rsidR="007F49E4" w:rsidRPr="00530E3C" w:rsidRDefault="007F49E4" w:rsidP="004701C1">
            <w:pPr>
              <w:rPr>
                <w:rFonts w:cs="Calibri"/>
                <w:sz w:val="24"/>
                <w:szCs w:val="24"/>
                <w:lang w:eastAsia="en-AU"/>
              </w:rPr>
            </w:pPr>
            <w:r w:rsidRPr="00530E3C">
              <w:rPr>
                <w:rFonts w:cs="Calibri"/>
                <w:sz w:val="24"/>
                <w:szCs w:val="24"/>
                <w:lang w:eastAsia="en-AU"/>
              </w:rPr>
              <w:t>16</w:t>
            </w:r>
          </w:p>
        </w:tc>
        <w:tc>
          <w:tcPr>
            <w:tcW w:w="4632" w:type="pct"/>
            <w:noWrap/>
            <w:vAlign w:val="center"/>
            <w:hideMark/>
          </w:tcPr>
          <w:p w14:paraId="1155775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Wollar Progress Association</w:t>
            </w:r>
          </w:p>
        </w:tc>
      </w:tr>
      <w:tr w:rsidR="007F49E4" w:rsidRPr="00530E3C" w14:paraId="282A099A" w14:textId="77777777" w:rsidTr="004701C1">
        <w:trPr>
          <w:trHeight w:val="340"/>
        </w:trPr>
        <w:tc>
          <w:tcPr>
            <w:tcW w:w="368" w:type="pct"/>
            <w:vAlign w:val="center"/>
            <w:hideMark/>
          </w:tcPr>
          <w:p w14:paraId="619D52E0" w14:textId="77777777" w:rsidR="007F49E4" w:rsidRPr="00530E3C" w:rsidRDefault="007F49E4" w:rsidP="004701C1">
            <w:pPr>
              <w:rPr>
                <w:rFonts w:cs="Calibri"/>
                <w:sz w:val="24"/>
                <w:szCs w:val="24"/>
                <w:lang w:eastAsia="en-AU"/>
              </w:rPr>
            </w:pPr>
            <w:r w:rsidRPr="00530E3C">
              <w:rPr>
                <w:rFonts w:cs="Calibri"/>
                <w:sz w:val="24"/>
                <w:szCs w:val="24"/>
                <w:lang w:eastAsia="en-AU"/>
              </w:rPr>
              <w:t>17</w:t>
            </w:r>
          </w:p>
        </w:tc>
        <w:tc>
          <w:tcPr>
            <w:tcW w:w="4632" w:type="pct"/>
            <w:noWrap/>
            <w:vAlign w:val="center"/>
            <w:hideMark/>
          </w:tcPr>
          <w:p w14:paraId="6B81475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79E16FDD" w14:textId="77777777" w:rsidTr="004701C1">
        <w:trPr>
          <w:trHeight w:val="340"/>
        </w:trPr>
        <w:tc>
          <w:tcPr>
            <w:tcW w:w="368" w:type="pct"/>
            <w:vAlign w:val="center"/>
            <w:hideMark/>
          </w:tcPr>
          <w:p w14:paraId="6FBF0EBE" w14:textId="77777777" w:rsidR="007F49E4" w:rsidRPr="00530E3C" w:rsidRDefault="007F49E4" w:rsidP="004701C1">
            <w:pPr>
              <w:rPr>
                <w:rFonts w:cs="Calibri"/>
                <w:sz w:val="24"/>
                <w:szCs w:val="24"/>
                <w:lang w:eastAsia="en-AU"/>
              </w:rPr>
            </w:pPr>
            <w:r w:rsidRPr="00530E3C">
              <w:rPr>
                <w:rFonts w:cs="Calibri"/>
                <w:sz w:val="24"/>
                <w:szCs w:val="24"/>
                <w:lang w:eastAsia="en-AU"/>
              </w:rPr>
              <w:t>18</w:t>
            </w:r>
          </w:p>
        </w:tc>
        <w:tc>
          <w:tcPr>
            <w:tcW w:w="4632" w:type="pct"/>
            <w:noWrap/>
            <w:vAlign w:val="center"/>
            <w:hideMark/>
          </w:tcPr>
          <w:p w14:paraId="0FA578E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490423AE" w14:textId="77777777" w:rsidTr="004701C1">
        <w:trPr>
          <w:trHeight w:val="340"/>
        </w:trPr>
        <w:tc>
          <w:tcPr>
            <w:tcW w:w="368" w:type="pct"/>
            <w:vAlign w:val="center"/>
            <w:hideMark/>
          </w:tcPr>
          <w:p w14:paraId="588D6533" w14:textId="77777777" w:rsidR="007F49E4" w:rsidRPr="00530E3C" w:rsidRDefault="007F49E4" w:rsidP="004701C1">
            <w:pPr>
              <w:rPr>
                <w:rFonts w:cs="Calibri"/>
                <w:sz w:val="24"/>
                <w:szCs w:val="24"/>
                <w:lang w:eastAsia="en-AU"/>
              </w:rPr>
            </w:pPr>
            <w:r w:rsidRPr="00530E3C">
              <w:rPr>
                <w:rFonts w:cs="Calibri"/>
                <w:sz w:val="24"/>
                <w:szCs w:val="24"/>
                <w:lang w:eastAsia="en-AU"/>
              </w:rPr>
              <w:t>19</w:t>
            </w:r>
          </w:p>
        </w:tc>
        <w:tc>
          <w:tcPr>
            <w:tcW w:w="4632" w:type="pct"/>
            <w:noWrap/>
            <w:vAlign w:val="center"/>
            <w:hideMark/>
          </w:tcPr>
          <w:p w14:paraId="43702F5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6C1A086C" w14:textId="77777777" w:rsidTr="004701C1">
        <w:trPr>
          <w:trHeight w:val="340"/>
        </w:trPr>
        <w:tc>
          <w:tcPr>
            <w:tcW w:w="368" w:type="pct"/>
            <w:vAlign w:val="center"/>
            <w:hideMark/>
          </w:tcPr>
          <w:p w14:paraId="3ED99870" w14:textId="77777777" w:rsidR="007F49E4" w:rsidRPr="00530E3C" w:rsidRDefault="007F49E4" w:rsidP="004701C1">
            <w:pPr>
              <w:rPr>
                <w:rFonts w:cs="Calibri"/>
                <w:sz w:val="24"/>
                <w:szCs w:val="24"/>
                <w:lang w:eastAsia="en-AU"/>
              </w:rPr>
            </w:pPr>
            <w:r w:rsidRPr="00530E3C">
              <w:rPr>
                <w:rFonts w:cs="Calibri"/>
                <w:sz w:val="24"/>
                <w:szCs w:val="24"/>
                <w:lang w:eastAsia="en-AU"/>
              </w:rPr>
              <w:t>20</w:t>
            </w:r>
          </w:p>
        </w:tc>
        <w:tc>
          <w:tcPr>
            <w:tcW w:w="4632" w:type="pct"/>
            <w:noWrap/>
            <w:vAlign w:val="center"/>
            <w:hideMark/>
          </w:tcPr>
          <w:p w14:paraId="3CB9CC71"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Tibor </w:t>
            </w:r>
            <w:proofErr w:type="spellStart"/>
            <w:r w:rsidRPr="00530E3C">
              <w:rPr>
                <w:rFonts w:cs="Calibri"/>
                <w:color w:val="000000"/>
                <w:sz w:val="24"/>
                <w:szCs w:val="24"/>
                <w:lang w:eastAsia="en-AU"/>
              </w:rPr>
              <w:t>Kovats</w:t>
            </w:r>
            <w:proofErr w:type="spellEnd"/>
          </w:p>
        </w:tc>
      </w:tr>
      <w:tr w:rsidR="007F49E4" w:rsidRPr="00530E3C" w14:paraId="546CF264" w14:textId="77777777" w:rsidTr="004701C1">
        <w:trPr>
          <w:trHeight w:val="340"/>
        </w:trPr>
        <w:tc>
          <w:tcPr>
            <w:tcW w:w="368" w:type="pct"/>
            <w:vAlign w:val="center"/>
            <w:hideMark/>
          </w:tcPr>
          <w:p w14:paraId="3DC2121E" w14:textId="77777777" w:rsidR="007F49E4" w:rsidRPr="00530E3C" w:rsidRDefault="007F49E4" w:rsidP="004701C1">
            <w:pPr>
              <w:rPr>
                <w:rFonts w:cs="Calibri"/>
                <w:sz w:val="24"/>
                <w:szCs w:val="24"/>
                <w:lang w:eastAsia="en-AU"/>
              </w:rPr>
            </w:pPr>
            <w:r w:rsidRPr="00530E3C">
              <w:rPr>
                <w:rFonts w:cs="Calibri"/>
                <w:sz w:val="24"/>
                <w:szCs w:val="24"/>
                <w:lang w:eastAsia="en-AU"/>
              </w:rPr>
              <w:t>21</w:t>
            </w:r>
          </w:p>
        </w:tc>
        <w:tc>
          <w:tcPr>
            <w:tcW w:w="4632" w:type="pct"/>
            <w:noWrap/>
            <w:vAlign w:val="center"/>
            <w:hideMark/>
          </w:tcPr>
          <w:p w14:paraId="593DDE8A"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26C193ED" w14:textId="77777777" w:rsidTr="004701C1">
        <w:trPr>
          <w:trHeight w:val="340"/>
        </w:trPr>
        <w:tc>
          <w:tcPr>
            <w:tcW w:w="368" w:type="pct"/>
            <w:vAlign w:val="center"/>
            <w:hideMark/>
          </w:tcPr>
          <w:p w14:paraId="729BC5EF" w14:textId="77777777" w:rsidR="007F49E4" w:rsidRPr="00530E3C" w:rsidRDefault="007F49E4" w:rsidP="004701C1">
            <w:pPr>
              <w:rPr>
                <w:rFonts w:cs="Calibri"/>
                <w:sz w:val="24"/>
                <w:szCs w:val="24"/>
                <w:lang w:eastAsia="en-AU"/>
              </w:rPr>
            </w:pPr>
            <w:r w:rsidRPr="00530E3C">
              <w:rPr>
                <w:rFonts w:cs="Calibri"/>
                <w:sz w:val="24"/>
                <w:szCs w:val="24"/>
                <w:lang w:eastAsia="en-AU"/>
              </w:rPr>
              <w:t>22</w:t>
            </w:r>
          </w:p>
        </w:tc>
        <w:tc>
          <w:tcPr>
            <w:tcW w:w="4632" w:type="pct"/>
            <w:noWrap/>
            <w:vAlign w:val="center"/>
            <w:hideMark/>
          </w:tcPr>
          <w:p w14:paraId="5D05595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 Micheal Streatfeild</w:t>
            </w:r>
          </w:p>
        </w:tc>
      </w:tr>
      <w:tr w:rsidR="007F49E4" w:rsidRPr="00530E3C" w14:paraId="25A17BEC" w14:textId="77777777" w:rsidTr="004701C1">
        <w:trPr>
          <w:trHeight w:val="340"/>
        </w:trPr>
        <w:tc>
          <w:tcPr>
            <w:tcW w:w="368" w:type="pct"/>
            <w:vAlign w:val="center"/>
            <w:hideMark/>
          </w:tcPr>
          <w:p w14:paraId="6B54B01B" w14:textId="77777777" w:rsidR="007F49E4" w:rsidRPr="00530E3C" w:rsidRDefault="007F49E4" w:rsidP="004701C1">
            <w:pPr>
              <w:rPr>
                <w:rFonts w:cs="Calibri"/>
                <w:sz w:val="24"/>
                <w:szCs w:val="24"/>
                <w:lang w:eastAsia="en-AU"/>
              </w:rPr>
            </w:pPr>
            <w:r w:rsidRPr="00530E3C">
              <w:rPr>
                <w:rFonts w:cs="Calibri"/>
                <w:sz w:val="24"/>
                <w:szCs w:val="24"/>
                <w:lang w:eastAsia="en-AU"/>
              </w:rPr>
              <w:t>23</w:t>
            </w:r>
          </w:p>
        </w:tc>
        <w:tc>
          <w:tcPr>
            <w:tcW w:w="4632" w:type="pct"/>
            <w:noWrap/>
            <w:vAlign w:val="center"/>
            <w:hideMark/>
          </w:tcPr>
          <w:p w14:paraId="2AF4E0D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Henry </w:t>
            </w:r>
            <w:proofErr w:type="spellStart"/>
            <w:r w:rsidRPr="00530E3C">
              <w:rPr>
                <w:rFonts w:cs="Calibri"/>
                <w:color w:val="000000"/>
                <w:sz w:val="24"/>
                <w:szCs w:val="24"/>
                <w:lang w:eastAsia="en-AU"/>
              </w:rPr>
              <w:t>Schneebeli</w:t>
            </w:r>
            <w:proofErr w:type="spellEnd"/>
            <w:r w:rsidRPr="00530E3C">
              <w:rPr>
                <w:rFonts w:cs="Calibri"/>
                <w:color w:val="000000"/>
                <w:sz w:val="24"/>
                <w:szCs w:val="24"/>
                <w:lang w:eastAsia="en-AU"/>
              </w:rPr>
              <w:t> </w:t>
            </w:r>
          </w:p>
        </w:tc>
      </w:tr>
      <w:tr w:rsidR="007F49E4" w:rsidRPr="00530E3C" w14:paraId="35A49C79" w14:textId="77777777" w:rsidTr="004701C1">
        <w:trPr>
          <w:trHeight w:val="340"/>
        </w:trPr>
        <w:tc>
          <w:tcPr>
            <w:tcW w:w="368" w:type="pct"/>
            <w:vAlign w:val="center"/>
            <w:hideMark/>
          </w:tcPr>
          <w:p w14:paraId="3F1BC60E" w14:textId="77777777" w:rsidR="007F49E4" w:rsidRPr="00530E3C" w:rsidRDefault="007F49E4" w:rsidP="004701C1">
            <w:pPr>
              <w:rPr>
                <w:rFonts w:cs="Calibri"/>
                <w:sz w:val="24"/>
                <w:szCs w:val="24"/>
                <w:lang w:eastAsia="en-AU"/>
              </w:rPr>
            </w:pPr>
            <w:r w:rsidRPr="00530E3C">
              <w:rPr>
                <w:rFonts w:cs="Calibri"/>
                <w:sz w:val="24"/>
                <w:szCs w:val="24"/>
                <w:lang w:eastAsia="en-AU"/>
              </w:rPr>
              <w:t>24</w:t>
            </w:r>
          </w:p>
        </w:tc>
        <w:tc>
          <w:tcPr>
            <w:tcW w:w="4632" w:type="pct"/>
            <w:noWrap/>
            <w:vAlign w:val="center"/>
            <w:hideMark/>
          </w:tcPr>
          <w:p w14:paraId="2789DF3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 Timothy Carroll</w:t>
            </w:r>
          </w:p>
        </w:tc>
      </w:tr>
      <w:tr w:rsidR="007F49E4" w:rsidRPr="00530E3C" w14:paraId="3DE6EC3E" w14:textId="77777777" w:rsidTr="004701C1">
        <w:trPr>
          <w:trHeight w:val="340"/>
        </w:trPr>
        <w:tc>
          <w:tcPr>
            <w:tcW w:w="368" w:type="pct"/>
            <w:vAlign w:val="center"/>
            <w:hideMark/>
          </w:tcPr>
          <w:p w14:paraId="071393B8" w14:textId="77777777" w:rsidR="007F49E4" w:rsidRPr="00530E3C" w:rsidRDefault="007F49E4" w:rsidP="004701C1">
            <w:pPr>
              <w:rPr>
                <w:rFonts w:cs="Calibri"/>
                <w:sz w:val="24"/>
                <w:szCs w:val="24"/>
                <w:lang w:eastAsia="en-AU"/>
              </w:rPr>
            </w:pPr>
            <w:r w:rsidRPr="00530E3C">
              <w:rPr>
                <w:rFonts w:cs="Calibri"/>
                <w:sz w:val="24"/>
                <w:szCs w:val="24"/>
                <w:lang w:eastAsia="en-AU"/>
              </w:rPr>
              <w:t>25</w:t>
            </w:r>
          </w:p>
        </w:tc>
        <w:tc>
          <w:tcPr>
            <w:tcW w:w="4632" w:type="pct"/>
            <w:noWrap/>
            <w:vAlign w:val="center"/>
            <w:hideMark/>
          </w:tcPr>
          <w:p w14:paraId="1516B17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Christopher Pont</w:t>
            </w:r>
          </w:p>
        </w:tc>
      </w:tr>
      <w:tr w:rsidR="007F49E4" w:rsidRPr="00530E3C" w14:paraId="7CEBDDBF" w14:textId="77777777" w:rsidTr="004701C1">
        <w:trPr>
          <w:trHeight w:val="340"/>
        </w:trPr>
        <w:tc>
          <w:tcPr>
            <w:tcW w:w="368" w:type="pct"/>
            <w:vAlign w:val="center"/>
            <w:hideMark/>
          </w:tcPr>
          <w:p w14:paraId="5F01E95A" w14:textId="77777777" w:rsidR="007F49E4" w:rsidRPr="00530E3C" w:rsidRDefault="007F49E4" w:rsidP="004701C1">
            <w:pPr>
              <w:rPr>
                <w:rFonts w:cs="Calibri"/>
                <w:sz w:val="24"/>
                <w:szCs w:val="24"/>
                <w:lang w:eastAsia="en-AU"/>
              </w:rPr>
            </w:pPr>
            <w:r w:rsidRPr="00530E3C">
              <w:rPr>
                <w:rFonts w:cs="Calibri"/>
                <w:sz w:val="24"/>
                <w:szCs w:val="24"/>
                <w:lang w:eastAsia="en-AU"/>
              </w:rPr>
              <w:t>26</w:t>
            </w:r>
          </w:p>
        </w:tc>
        <w:tc>
          <w:tcPr>
            <w:tcW w:w="4632" w:type="pct"/>
            <w:noWrap/>
            <w:vAlign w:val="center"/>
            <w:hideMark/>
          </w:tcPr>
          <w:p w14:paraId="676211F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6A76A091" w14:textId="77777777" w:rsidTr="004701C1">
        <w:trPr>
          <w:trHeight w:val="340"/>
        </w:trPr>
        <w:tc>
          <w:tcPr>
            <w:tcW w:w="368" w:type="pct"/>
            <w:vAlign w:val="center"/>
            <w:hideMark/>
          </w:tcPr>
          <w:p w14:paraId="7FA6D9E6" w14:textId="77777777" w:rsidR="007F49E4" w:rsidRPr="00530E3C" w:rsidRDefault="007F49E4" w:rsidP="004701C1">
            <w:pPr>
              <w:rPr>
                <w:rFonts w:cs="Calibri"/>
                <w:sz w:val="24"/>
                <w:szCs w:val="24"/>
                <w:lang w:eastAsia="en-AU"/>
              </w:rPr>
            </w:pPr>
            <w:r w:rsidRPr="00530E3C">
              <w:rPr>
                <w:rFonts w:cs="Calibri"/>
                <w:sz w:val="24"/>
                <w:szCs w:val="24"/>
                <w:lang w:eastAsia="en-AU"/>
              </w:rPr>
              <w:t>27</w:t>
            </w:r>
          </w:p>
        </w:tc>
        <w:tc>
          <w:tcPr>
            <w:tcW w:w="4632" w:type="pct"/>
            <w:noWrap/>
            <w:vAlign w:val="center"/>
            <w:hideMark/>
          </w:tcPr>
          <w:p w14:paraId="3F0253F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Miguel </w:t>
            </w:r>
            <w:proofErr w:type="spellStart"/>
            <w:r w:rsidRPr="00530E3C">
              <w:rPr>
                <w:rFonts w:cs="Calibri"/>
                <w:color w:val="000000"/>
                <w:sz w:val="24"/>
                <w:szCs w:val="24"/>
                <w:lang w:eastAsia="en-AU"/>
              </w:rPr>
              <w:t>Heatwole</w:t>
            </w:r>
            <w:proofErr w:type="spellEnd"/>
          </w:p>
        </w:tc>
      </w:tr>
      <w:tr w:rsidR="007F49E4" w:rsidRPr="00530E3C" w14:paraId="1A6278EE" w14:textId="77777777" w:rsidTr="004701C1">
        <w:trPr>
          <w:trHeight w:val="340"/>
        </w:trPr>
        <w:tc>
          <w:tcPr>
            <w:tcW w:w="368" w:type="pct"/>
            <w:vAlign w:val="center"/>
            <w:hideMark/>
          </w:tcPr>
          <w:p w14:paraId="63FAC8BE" w14:textId="77777777" w:rsidR="007F49E4" w:rsidRPr="00530E3C" w:rsidRDefault="007F49E4" w:rsidP="004701C1">
            <w:pPr>
              <w:rPr>
                <w:rFonts w:cs="Calibri"/>
                <w:sz w:val="24"/>
                <w:szCs w:val="24"/>
                <w:lang w:eastAsia="en-AU"/>
              </w:rPr>
            </w:pPr>
            <w:r w:rsidRPr="00530E3C">
              <w:rPr>
                <w:rFonts w:cs="Calibri"/>
                <w:sz w:val="24"/>
                <w:szCs w:val="24"/>
                <w:lang w:eastAsia="en-AU"/>
              </w:rPr>
              <w:t>28</w:t>
            </w:r>
          </w:p>
        </w:tc>
        <w:tc>
          <w:tcPr>
            <w:tcW w:w="4632" w:type="pct"/>
            <w:noWrap/>
            <w:vAlign w:val="center"/>
            <w:hideMark/>
          </w:tcPr>
          <w:p w14:paraId="26F41AB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Ross Liddle</w:t>
            </w:r>
          </w:p>
        </w:tc>
      </w:tr>
      <w:tr w:rsidR="007F49E4" w:rsidRPr="00530E3C" w14:paraId="0256B9E2" w14:textId="77777777" w:rsidTr="004701C1">
        <w:trPr>
          <w:trHeight w:val="340"/>
        </w:trPr>
        <w:tc>
          <w:tcPr>
            <w:tcW w:w="368" w:type="pct"/>
            <w:vAlign w:val="center"/>
            <w:hideMark/>
          </w:tcPr>
          <w:p w14:paraId="4EC5F03E" w14:textId="77777777" w:rsidR="007F49E4" w:rsidRPr="00530E3C" w:rsidRDefault="007F49E4" w:rsidP="004701C1">
            <w:pPr>
              <w:rPr>
                <w:rFonts w:cs="Calibri"/>
                <w:sz w:val="24"/>
                <w:szCs w:val="24"/>
                <w:lang w:eastAsia="en-AU"/>
              </w:rPr>
            </w:pPr>
            <w:r w:rsidRPr="00530E3C">
              <w:rPr>
                <w:rFonts w:cs="Calibri"/>
                <w:sz w:val="24"/>
                <w:szCs w:val="24"/>
                <w:lang w:eastAsia="en-AU"/>
              </w:rPr>
              <w:t>29</w:t>
            </w:r>
          </w:p>
        </w:tc>
        <w:tc>
          <w:tcPr>
            <w:tcW w:w="4632" w:type="pct"/>
            <w:noWrap/>
            <w:vAlign w:val="center"/>
            <w:hideMark/>
          </w:tcPr>
          <w:p w14:paraId="1A9E53B1"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Dr Rod Anderson</w:t>
            </w:r>
          </w:p>
        </w:tc>
      </w:tr>
      <w:tr w:rsidR="007F49E4" w:rsidRPr="00530E3C" w14:paraId="09DD8C3D" w14:textId="77777777" w:rsidTr="004701C1">
        <w:trPr>
          <w:trHeight w:val="340"/>
        </w:trPr>
        <w:tc>
          <w:tcPr>
            <w:tcW w:w="368" w:type="pct"/>
            <w:vAlign w:val="center"/>
            <w:hideMark/>
          </w:tcPr>
          <w:p w14:paraId="5425B797" w14:textId="77777777" w:rsidR="007F49E4" w:rsidRPr="00530E3C" w:rsidRDefault="007F49E4" w:rsidP="004701C1">
            <w:pPr>
              <w:rPr>
                <w:rFonts w:cs="Calibri"/>
                <w:sz w:val="24"/>
                <w:szCs w:val="24"/>
                <w:lang w:eastAsia="en-AU"/>
              </w:rPr>
            </w:pPr>
            <w:r w:rsidRPr="00530E3C">
              <w:rPr>
                <w:rFonts w:cs="Calibri"/>
                <w:sz w:val="24"/>
                <w:szCs w:val="24"/>
                <w:lang w:eastAsia="en-AU"/>
              </w:rPr>
              <w:t>30</w:t>
            </w:r>
          </w:p>
        </w:tc>
        <w:tc>
          <w:tcPr>
            <w:tcW w:w="4632" w:type="pct"/>
            <w:noWrap/>
            <w:vAlign w:val="center"/>
            <w:hideMark/>
          </w:tcPr>
          <w:p w14:paraId="4601074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15B44735" w14:textId="77777777" w:rsidTr="004701C1">
        <w:trPr>
          <w:trHeight w:val="340"/>
        </w:trPr>
        <w:tc>
          <w:tcPr>
            <w:tcW w:w="368" w:type="pct"/>
            <w:vAlign w:val="center"/>
            <w:hideMark/>
          </w:tcPr>
          <w:p w14:paraId="1359B42A" w14:textId="77777777" w:rsidR="007F49E4" w:rsidRPr="00530E3C" w:rsidRDefault="007F49E4" w:rsidP="004701C1">
            <w:pPr>
              <w:rPr>
                <w:rFonts w:cs="Calibri"/>
                <w:sz w:val="24"/>
                <w:szCs w:val="24"/>
                <w:lang w:eastAsia="en-AU"/>
              </w:rPr>
            </w:pPr>
            <w:r w:rsidRPr="00530E3C">
              <w:rPr>
                <w:rFonts w:cs="Calibri"/>
                <w:sz w:val="24"/>
                <w:szCs w:val="24"/>
                <w:lang w:eastAsia="en-AU"/>
              </w:rPr>
              <w:t>31</w:t>
            </w:r>
          </w:p>
        </w:tc>
        <w:tc>
          <w:tcPr>
            <w:tcW w:w="4632" w:type="pct"/>
            <w:noWrap/>
            <w:vAlign w:val="center"/>
            <w:hideMark/>
          </w:tcPr>
          <w:p w14:paraId="736164FB"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Bathurst Community Climate Action Network</w:t>
            </w:r>
          </w:p>
        </w:tc>
      </w:tr>
      <w:tr w:rsidR="007F49E4" w:rsidRPr="00530E3C" w14:paraId="1BF54172" w14:textId="77777777" w:rsidTr="004701C1">
        <w:trPr>
          <w:trHeight w:val="340"/>
        </w:trPr>
        <w:tc>
          <w:tcPr>
            <w:tcW w:w="368" w:type="pct"/>
            <w:vAlign w:val="center"/>
            <w:hideMark/>
          </w:tcPr>
          <w:p w14:paraId="401C6F6E" w14:textId="77777777" w:rsidR="007F49E4" w:rsidRPr="00530E3C" w:rsidRDefault="007F49E4" w:rsidP="004701C1">
            <w:pPr>
              <w:rPr>
                <w:rFonts w:cs="Calibri"/>
                <w:sz w:val="24"/>
                <w:szCs w:val="24"/>
                <w:lang w:eastAsia="en-AU"/>
              </w:rPr>
            </w:pPr>
            <w:r w:rsidRPr="00530E3C">
              <w:rPr>
                <w:rFonts w:cs="Calibri"/>
                <w:sz w:val="24"/>
                <w:szCs w:val="24"/>
                <w:lang w:eastAsia="en-AU"/>
              </w:rPr>
              <w:t>32</w:t>
            </w:r>
          </w:p>
        </w:tc>
        <w:tc>
          <w:tcPr>
            <w:tcW w:w="4632" w:type="pct"/>
            <w:noWrap/>
            <w:vAlign w:val="center"/>
            <w:hideMark/>
          </w:tcPr>
          <w:p w14:paraId="1DEBAB2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Gab McIntosh</w:t>
            </w:r>
          </w:p>
        </w:tc>
      </w:tr>
      <w:tr w:rsidR="007F49E4" w:rsidRPr="00530E3C" w14:paraId="0701590F" w14:textId="77777777" w:rsidTr="004701C1">
        <w:trPr>
          <w:trHeight w:val="340"/>
        </w:trPr>
        <w:tc>
          <w:tcPr>
            <w:tcW w:w="368" w:type="pct"/>
            <w:vAlign w:val="center"/>
            <w:hideMark/>
          </w:tcPr>
          <w:p w14:paraId="2ADC65E4" w14:textId="77777777" w:rsidR="007F49E4" w:rsidRPr="00530E3C" w:rsidRDefault="007F49E4" w:rsidP="004701C1">
            <w:pPr>
              <w:rPr>
                <w:rFonts w:cs="Calibri"/>
                <w:sz w:val="24"/>
                <w:szCs w:val="24"/>
                <w:lang w:eastAsia="en-AU"/>
              </w:rPr>
            </w:pPr>
            <w:r w:rsidRPr="00530E3C">
              <w:rPr>
                <w:rFonts w:cs="Calibri"/>
                <w:sz w:val="24"/>
                <w:szCs w:val="24"/>
                <w:lang w:eastAsia="en-AU"/>
              </w:rPr>
              <w:t>33</w:t>
            </w:r>
          </w:p>
        </w:tc>
        <w:tc>
          <w:tcPr>
            <w:tcW w:w="4632" w:type="pct"/>
            <w:noWrap/>
            <w:vAlign w:val="center"/>
            <w:hideMark/>
          </w:tcPr>
          <w:p w14:paraId="643DAD8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The Justice and Equity Centre</w:t>
            </w:r>
          </w:p>
        </w:tc>
      </w:tr>
      <w:tr w:rsidR="007F49E4" w:rsidRPr="00530E3C" w14:paraId="5775E51C" w14:textId="77777777" w:rsidTr="004701C1">
        <w:trPr>
          <w:trHeight w:val="340"/>
        </w:trPr>
        <w:tc>
          <w:tcPr>
            <w:tcW w:w="368" w:type="pct"/>
            <w:vAlign w:val="center"/>
            <w:hideMark/>
          </w:tcPr>
          <w:p w14:paraId="59C239D6" w14:textId="77777777" w:rsidR="007F49E4" w:rsidRPr="00530E3C" w:rsidRDefault="007F49E4" w:rsidP="004701C1">
            <w:pPr>
              <w:rPr>
                <w:rFonts w:cs="Calibri"/>
                <w:sz w:val="24"/>
                <w:szCs w:val="24"/>
                <w:lang w:eastAsia="en-AU"/>
              </w:rPr>
            </w:pPr>
            <w:r w:rsidRPr="00530E3C">
              <w:rPr>
                <w:rFonts w:cs="Calibri"/>
                <w:sz w:val="24"/>
                <w:szCs w:val="24"/>
                <w:lang w:eastAsia="en-AU"/>
              </w:rPr>
              <w:t>34</w:t>
            </w:r>
          </w:p>
        </w:tc>
        <w:tc>
          <w:tcPr>
            <w:tcW w:w="4632" w:type="pct"/>
            <w:noWrap/>
            <w:vAlign w:val="center"/>
            <w:hideMark/>
          </w:tcPr>
          <w:p w14:paraId="0B31B916"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770F394D" w14:textId="77777777" w:rsidTr="004701C1">
        <w:trPr>
          <w:trHeight w:val="340"/>
        </w:trPr>
        <w:tc>
          <w:tcPr>
            <w:tcW w:w="368" w:type="pct"/>
            <w:vAlign w:val="center"/>
            <w:hideMark/>
          </w:tcPr>
          <w:p w14:paraId="60E338D0" w14:textId="77777777" w:rsidR="007F49E4" w:rsidRPr="00530E3C" w:rsidRDefault="007F49E4" w:rsidP="004701C1">
            <w:pPr>
              <w:rPr>
                <w:rFonts w:cs="Calibri"/>
                <w:sz w:val="24"/>
                <w:szCs w:val="24"/>
                <w:lang w:eastAsia="en-AU"/>
              </w:rPr>
            </w:pPr>
            <w:r w:rsidRPr="00530E3C">
              <w:rPr>
                <w:rFonts w:cs="Calibri"/>
                <w:sz w:val="24"/>
                <w:szCs w:val="24"/>
                <w:lang w:eastAsia="en-AU"/>
              </w:rPr>
              <w:t>35</w:t>
            </w:r>
          </w:p>
        </w:tc>
        <w:tc>
          <w:tcPr>
            <w:tcW w:w="4632" w:type="pct"/>
            <w:noWrap/>
            <w:vAlign w:val="center"/>
            <w:hideMark/>
          </w:tcPr>
          <w:p w14:paraId="0807750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Climate Change Balmain-Rozelle</w:t>
            </w:r>
          </w:p>
        </w:tc>
      </w:tr>
      <w:tr w:rsidR="007F49E4" w:rsidRPr="00530E3C" w14:paraId="6BC0B1D9" w14:textId="77777777" w:rsidTr="004701C1">
        <w:trPr>
          <w:trHeight w:val="340"/>
        </w:trPr>
        <w:tc>
          <w:tcPr>
            <w:tcW w:w="368" w:type="pct"/>
            <w:vAlign w:val="center"/>
            <w:hideMark/>
          </w:tcPr>
          <w:p w14:paraId="1E16367C" w14:textId="77777777" w:rsidR="007F49E4" w:rsidRPr="00530E3C" w:rsidRDefault="007F49E4" w:rsidP="004701C1">
            <w:pPr>
              <w:rPr>
                <w:rFonts w:cs="Calibri"/>
                <w:sz w:val="24"/>
                <w:szCs w:val="24"/>
                <w:lang w:eastAsia="en-AU"/>
              </w:rPr>
            </w:pPr>
            <w:r w:rsidRPr="00530E3C">
              <w:rPr>
                <w:rFonts w:cs="Calibri"/>
                <w:sz w:val="24"/>
                <w:szCs w:val="24"/>
                <w:lang w:eastAsia="en-AU"/>
              </w:rPr>
              <w:t>36</w:t>
            </w:r>
          </w:p>
        </w:tc>
        <w:tc>
          <w:tcPr>
            <w:tcW w:w="4632" w:type="pct"/>
            <w:noWrap/>
            <w:vAlign w:val="center"/>
            <w:hideMark/>
          </w:tcPr>
          <w:p w14:paraId="5535021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Dr Anthony Martin</w:t>
            </w:r>
          </w:p>
        </w:tc>
      </w:tr>
      <w:tr w:rsidR="007F49E4" w:rsidRPr="00530E3C" w14:paraId="644F5E43" w14:textId="77777777" w:rsidTr="004701C1">
        <w:trPr>
          <w:trHeight w:val="340"/>
        </w:trPr>
        <w:tc>
          <w:tcPr>
            <w:tcW w:w="368" w:type="pct"/>
            <w:vAlign w:val="center"/>
            <w:hideMark/>
          </w:tcPr>
          <w:p w14:paraId="5A73B6E9" w14:textId="77777777" w:rsidR="007F49E4" w:rsidRPr="00530E3C" w:rsidRDefault="007F49E4" w:rsidP="004701C1">
            <w:pPr>
              <w:rPr>
                <w:rFonts w:cs="Calibri"/>
                <w:sz w:val="24"/>
                <w:szCs w:val="24"/>
                <w:lang w:eastAsia="en-AU"/>
              </w:rPr>
            </w:pPr>
            <w:r w:rsidRPr="00530E3C">
              <w:rPr>
                <w:rFonts w:cs="Calibri"/>
                <w:sz w:val="24"/>
                <w:szCs w:val="24"/>
                <w:lang w:eastAsia="en-AU"/>
              </w:rPr>
              <w:t>37</w:t>
            </w:r>
          </w:p>
        </w:tc>
        <w:tc>
          <w:tcPr>
            <w:tcW w:w="4632" w:type="pct"/>
            <w:noWrap/>
            <w:vAlign w:val="center"/>
            <w:hideMark/>
          </w:tcPr>
          <w:p w14:paraId="243CE3D6"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4FAB6922" w14:textId="77777777" w:rsidTr="004701C1">
        <w:trPr>
          <w:trHeight w:val="340"/>
        </w:trPr>
        <w:tc>
          <w:tcPr>
            <w:tcW w:w="368" w:type="pct"/>
            <w:vAlign w:val="center"/>
            <w:hideMark/>
          </w:tcPr>
          <w:p w14:paraId="53E02BAC" w14:textId="77777777" w:rsidR="007F49E4" w:rsidRPr="00530E3C" w:rsidRDefault="007F49E4" w:rsidP="004701C1">
            <w:pPr>
              <w:rPr>
                <w:rFonts w:cs="Calibri"/>
                <w:sz w:val="24"/>
                <w:szCs w:val="24"/>
                <w:lang w:eastAsia="en-AU"/>
              </w:rPr>
            </w:pPr>
            <w:r w:rsidRPr="00530E3C">
              <w:rPr>
                <w:rFonts w:cs="Calibri"/>
                <w:sz w:val="24"/>
                <w:szCs w:val="24"/>
                <w:lang w:eastAsia="en-AU"/>
              </w:rPr>
              <w:t>38</w:t>
            </w:r>
          </w:p>
        </w:tc>
        <w:tc>
          <w:tcPr>
            <w:tcW w:w="4632" w:type="pct"/>
            <w:noWrap/>
            <w:vAlign w:val="center"/>
            <w:hideMark/>
          </w:tcPr>
          <w:p w14:paraId="59F83E9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NSW Minerals Council</w:t>
            </w:r>
          </w:p>
        </w:tc>
      </w:tr>
      <w:tr w:rsidR="007F49E4" w:rsidRPr="00530E3C" w14:paraId="63D705AD" w14:textId="77777777" w:rsidTr="004701C1">
        <w:trPr>
          <w:trHeight w:val="340"/>
        </w:trPr>
        <w:tc>
          <w:tcPr>
            <w:tcW w:w="368" w:type="pct"/>
            <w:vAlign w:val="center"/>
            <w:hideMark/>
          </w:tcPr>
          <w:p w14:paraId="7DED2E31" w14:textId="77777777" w:rsidR="007F49E4" w:rsidRPr="00530E3C" w:rsidRDefault="007F49E4" w:rsidP="004701C1">
            <w:pPr>
              <w:rPr>
                <w:rFonts w:cs="Calibri"/>
                <w:sz w:val="24"/>
                <w:szCs w:val="24"/>
                <w:lang w:eastAsia="en-AU"/>
              </w:rPr>
            </w:pPr>
            <w:r w:rsidRPr="00530E3C">
              <w:rPr>
                <w:rFonts w:cs="Calibri"/>
                <w:sz w:val="24"/>
                <w:szCs w:val="24"/>
                <w:lang w:eastAsia="en-AU"/>
              </w:rPr>
              <w:t>39</w:t>
            </w:r>
          </w:p>
        </w:tc>
        <w:tc>
          <w:tcPr>
            <w:tcW w:w="4632" w:type="pct"/>
            <w:noWrap/>
            <w:vAlign w:val="center"/>
            <w:hideMark/>
          </w:tcPr>
          <w:p w14:paraId="0F11FCC6"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Jennifer Brewer</w:t>
            </w:r>
          </w:p>
        </w:tc>
      </w:tr>
      <w:tr w:rsidR="007F49E4" w:rsidRPr="00530E3C" w14:paraId="163DD5BA" w14:textId="77777777" w:rsidTr="004701C1">
        <w:trPr>
          <w:trHeight w:val="340"/>
        </w:trPr>
        <w:tc>
          <w:tcPr>
            <w:tcW w:w="368" w:type="pct"/>
            <w:vAlign w:val="center"/>
            <w:hideMark/>
          </w:tcPr>
          <w:p w14:paraId="4B01A4E0" w14:textId="77777777" w:rsidR="007F49E4" w:rsidRPr="00530E3C" w:rsidRDefault="007F49E4" w:rsidP="004701C1">
            <w:pPr>
              <w:rPr>
                <w:rFonts w:cs="Calibri"/>
                <w:sz w:val="24"/>
                <w:szCs w:val="24"/>
                <w:lang w:eastAsia="en-AU"/>
              </w:rPr>
            </w:pPr>
            <w:r w:rsidRPr="00530E3C">
              <w:rPr>
                <w:rFonts w:cs="Calibri"/>
                <w:sz w:val="24"/>
                <w:szCs w:val="24"/>
                <w:lang w:eastAsia="en-AU"/>
              </w:rPr>
              <w:t>40</w:t>
            </w:r>
          </w:p>
        </w:tc>
        <w:tc>
          <w:tcPr>
            <w:tcW w:w="4632" w:type="pct"/>
            <w:noWrap/>
            <w:vAlign w:val="center"/>
            <w:hideMark/>
          </w:tcPr>
          <w:p w14:paraId="191EF5DA"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Ausgrid</w:t>
            </w:r>
          </w:p>
        </w:tc>
      </w:tr>
      <w:tr w:rsidR="007F49E4" w:rsidRPr="00530E3C" w14:paraId="21A7D150" w14:textId="77777777" w:rsidTr="004701C1">
        <w:trPr>
          <w:trHeight w:val="340"/>
        </w:trPr>
        <w:tc>
          <w:tcPr>
            <w:tcW w:w="368" w:type="pct"/>
            <w:vAlign w:val="center"/>
            <w:hideMark/>
          </w:tcPr>
          <w:p w14:paraId="5D3D0654" w14:textId="77777777" w:rsidR="007F49E4" w:rsidRPr="00530E3C" w:rsidRDefault="007F49E4" w:rsidP="004701C1">
            <w:pPr>
              <w:rPr>
                <w:rFonts w:cs="Calibri"/>
                <w:sz w:val="24"/>
                <w:szCs w:val="24"/>
                <w:lang w:eastAsia="en-AU"/>
              </w:rPr>
            </w:pPr>
            <w:r w:rsidRPr="00530E3C">
              <w:rPr>
                <w:rFonts w:cs="Calibri"/>
                <w:sz w:val="24"/>
                <w:szCs w:val="24"/>
                <w:lang w:eastAsia="en-AU"/>
              </w:rPr>
              <w:t>41</w:t>
            </w:r>
          </w:p>
        </w:tc>
        <w:tc>
          <w:tcPr>
            <w:tcW w:w="4632" w:type="pct"/>
            <w:noWrap/>
            <w:vAlign w:val="center"/>
            <w:hideMark/>
          </w:tcPr>
          <w:p w14:paraId="0928A27B" w14:textId="77777777" w:rsidR="007F49E4" w:rsidRPr="00530E3C" w:rsidRDefault="00917C5E" w:rsidP="004701C1">
            <w:pPr>
              <w:rPr>
                <w:rFonts w:cs="Calibri"/>
                <w:color w:val="0563C1"/>
                <w:sz w:val="24"/>
                <w:szCs w:val="24"/>
                <w:u w:val="single"/>
                <w:lang w:eastAsia="en-AU"/>
              </w:rPr>
            </w:pPr>
            <w:hyperlink r:id="rId24" w:history="1">
              <w:r w:rsidR="007F49E4" w:rsidRPr="00530E3C">
                <w:rPr>
                  <w:rFonts w:cs="Calibri"/>
                  <w:color w:val="000000"/>
                  <w:sz w:val="24"/>
                  <w:szCs w:val="24"/>
                  <w:lang w:eastAsia="en-AU"/>
                </w:rPr>
                <w:t>Mrs Marie Woolnough</w:t>
              </w:r>
            </w:hyperlink>
          </w:p>
        </w:tc>
      </w:tr>
      <w:tr w:rsidR="007F49E4" w:rsidRPr="00530E3C" w14:paraId="4C30B7A1" w14:textId="77777777" w:rsidTr="004701C1">
        <w:trPr>
          <w:trHeight w:val="340"/>
        </w:trPr>
        <w:tc>
          <w:tcPr>
            <w:tcW w:w="368" w:type="pct"/>
            <w:vAlign w:val="center"/>
            <w:hideMark/>
          </w:tcPr>
          <w:p w14:paraId="3E15A688" w14:textId="77777777" w:rsidR="007F49E4" w:rsidRPr="00530E3C" w:rsidRDefault="007F49E4" w:rsidP="004701C1">
            <w:pPr>
              <w:rPr>
                <w:rFonts w:cs="Calibri"/>
                <w:sz w:val="24"/>
                <w:szCs w:val="24"/>
                <w:lang w:eastAsia="en-AU"/>
              </w:rPr>
            </w:pPr>
            <w:r w:rsidRPr="00530E3C">
              <w:rPr>
                <w:rFonts w:cs="Calibri"/>
                <w:sz w:val="24"/>
                <w:szCs w:val="24"/>
                <w:lang w:eastAsia="en-AU"/>
              </w:rPr>
              <w:t>42</w:t>
            </w:r>
          </w:p>
        </w:tc>
        <w:tc>
          <w:tcPr>
            <w:tcW w:w="4632" w:type="pct"/>
            <w:noWrap/>
            <w:vAlign w:val="center"/>
            <w:hideMark/>
          </w:tcPr>
          <w:p w14:paraId="5FA27949"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Nature Conservation Council of NSW </w:t>
            </w:r>
          </w:p>
        </w:tc>
      </w:tr>
      <w:tr w:rsidR="007F49E4" w:rsidRPr="00530E3C" w14:paraId="2BACBE80" w14:textId="77777777" w:rsidTr="004701C1">
        <w:trPr>
          <w:trHeight w:val="340"/>
        </w:trPr>
        <w:tc>
          <w:tcPr>
            <w:tcW w:w="368" w:type="pct"/>
            <w:vAlign w:val="center"/>
            <w:hideMark/>
          </w:tcPr>
          <w:p w14:paraId="040166A5" w14:textId="77777777" w:rsidR="007F49E4" w:rsidRPr="00530E3C" w:rsidRDefault="007F49E4" w:rsidP="004701C1">
            <w:pPr>
              <w:ind w:right="-72"/>
              <w:rPr>
                <w:rFonts w:cs="Calibri"/>
                <w:sz w:val="24"/>
                <w:szCs w:val="24"/>
                <w:lang w:eastAsia="en-AU"/>
              </w:rPr>
            </w:pPr>
            <w:r w:rsidRPr="00530E3C">
              <w:rPr>
                <w:rFonts w:cs="Calibri"/>
                <w:sz w:val="24"/>
                <w:szCs w:val="24"/>
                <w:lang w:eastAsia="en-AU"/>
              </w:rPr>
              <w:t>42a</w:t>
            </w:r>
          </w:p>
        </w:tc>
        <w:tc>
          <w:tcPr>
            <w:tcW w:w="4632" w:type="pct"/>
            <w:noWrap/>
            <w:vAlign w:val="center"/>
            <w:hideMark/>
          </w:tcPr>
          <w:p w14:paraId="44CB8289"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Nature Conservation Council of NSW</w:t>
            </w:r>
            <w:r>
              <w:rPr>
                <w:rFonts w:cs="Calibri"/>
                <w:color w:val="000000"/>
                <w:sz w:val="24"/>
                <w:szCs w:val="24"/>
                <w:lang w:eastAsia="en-AU"/>
              </w:rPr>
              <w:t xml:space="preserve">, </w:t>
            </w:r>
            <w:r w:rsidRPr="00175D65">
              <w:rPr>
                <w:rFonts w:cs="Calibri"/>
                <w:color w:val="000000"/>
                <w:sz w:val="24"/>
                <w:szCs w:val="24"/>
                <w:lang w:eastAsia="en-AU"/>
              </w:rPr>
              <w:t>Greenpeace Australia Pacific,</w:t>
            </w:r>
            <w:r>
              <w:rPr>
                <w:rFonts w:cs="Calibri"/>
                <w:color w:val="000000"/>
                <w:sz w:val="24"/>
                <w:szCs w:val="24"/>
                <w:lang w:eastAsia="en-AU"/>
              </w:rPr>
              <w:t xml:space="preserve"> </w:t>
            </w:r>
            <w:proofErr w:type="spellStart"/>
            <w:r w:rsidRPr="00D1471D">
              <w:rPr>
                <w:rFonts w:cs="Calibri"/>
                <w:color w:val="000000"/>
                <w:sz w:val="24"/>
                <w:szCs w:val="24"/>
                <w:lang w:eastAsia="en-AU"/>
              </w:rPr>
              <w:t>Risingtide</w:t>
            </w:r>
            <w:proofErr w:type="spellEnd"/>
            <w:r w:rsidRPr="00D1471D">
              <w:rPr>
                <w:rFonts w:cs="Calibri"/>
                <w:color w:val="000000"/>
                <w:sz w:val="24"/>
                <w:szCs w:val="24"/>
                <w:lang w:eastAsia="en-AU"/>
              </w:rPr>
              <w:t xml:space="preserve"> Australia,</w:t>
            </w:r>
            <w:r>
              <w:rPr>
                <w:rFonts w:cs="Calibri"/>
                <w:color w:val="000000"/>
                <w:sz w:val="24"/>
                <w:szCs w:val="24"/>
                <w:lang w:eastAsia="en-AU"/>
              </w:rPr>
              <w:t xml:space="preserve"> </w:t>
            </w:r>
            <w:r w:rsidRPr="00D1471D">
              <w:rPr>
                <w:rFonts w:cs="Calibri"/>
                <w:color w:val="000000"/>
                <w:sz w:val="24"/>
                <w:szCs w:val="24"/>
                <w:lang w:eastAsia="en-AU"/>
              </w:rPr>
              <w:t xml:space="preserve">350.org, </w:t>
            </w:r>
            <w:r w:rsidRPr="00C33B3D">
              <w:rPr>
                <w:rFonts w:cs="Calibri"/>
                <w:color w:val="000000"/>
                <w:sz w:val="24"/>
                <w:szCs w:val="24"/>
                <w:lang w:eastAsia="en-AU"/>
              </w:rPr>
              <w:t>Australian Conservation Foundation, WWF-Australia</w:t>
            </w:r>
          </w:p>
        </w:tc>
      </w:tr>
      <w:tr w:rsidR="007F49E4" w:rsidRPr="00530E3C" w14:paraId="4743545E" w14:textId="77777777" w:rsidTr="004701C1">
        <w:trPr>
          <w:trHeight w:val="340"/>
        </w:trPr>
        <w:tc>
          <w:tcPr>
            <w:tcW w:w="368" w:type="pct"/>
            <w:vAlign w:val="center"/>
            <w:hideMark/>
          </w:tcPr>
          <w:p w14:paraId="1D14FFF5" w14:textId="77777777" w:rsidR="007F49E4" w:rsidRPr="00530E3C" w:rsidRDefault="007F49E4" w:rsidP="004701C1">
            <w:pPr>
              <w:rPr>
                <w:rFonts w:cs="Calibri"/>
                <w:sz w:val="24"/>
                <w:szCs w:val="24"/>
                <w:lang w:eastAsia="en-AU"/>
              </w:rPr>
            </w:pPr>
            <w:r w:rsidRPr="00530E3C">
              <w:rPr>
                <w:rFonts w:cs="Calibri"/>
                <w:sz w:val="24"/>
                <w:szCs w:val="24"/>
                <w:lang w:eastAsia="en-AU"/>
              </w:rPr>
              <w:t>43</w:t>
            </w:r>
          </w:p>
        </w:tc>
        <w:tc>
          <w:tcPr>
            <w:tcW w:w="4632" w:type="pct"/>
            <w:noWrap/>
            <w:vAlign w:val="center"/>
            <w:hideMark/>
          </w:tcPr>
          <w:p w14:paraId="49AC0A1C" w14:textId="074AD508" w:rsidR="007F49E4" w:rsidRPr="00530E3C" w:rsidRDefault="008236C4" w:rsidP="004701C1">
            <w:pPr>
              <w:rPr>
                <w:rFonts w:cs="Calibri"/>
                <w:color w:val="000000"/>
                <w:sz w:val="24"/>
                <w:szCs w:val="24"/>
                <w:lang w:eastAsia="en-AU"/>
              </w:rPr>
            </w:pPr>
            <w:r>
              <w:rPr>
                <w:rFonts w:cs="Calibri"/>
                <w:color w:val="000000"/>
                <w:sz w:val="24"/>
                <w:szCs w:val="24"/>
                <w:lang w:eastAsia="en-AU"/>
              </w:rPr>
              <w:t>Name Suppressed</w:t>
            </w:r>
          </w:p>
        </w:tc>
      </w:tr>
      <w:tr w:rsidR="007F49E4" w:rsidRPr="00530E3C" w14:paraId="0ADB420D" w14:textId="77777777" w:rsidTr="004701C1">
        <w:trPr>
          <w:trHeight w:val="340"/>
        </w:trPr>
        <w:tc>
          <w:tcPr>
            <w:tcW w:w="368" w:type="pct"/>
            <w:vAlign w:val="center"/>
            <w:hideMark/>
          </w:tcPr>
          <w:p w14:paraId="7D087DE0" w14:textId="77777777" w:rsidR="007F49E4" w:rsidRPr="00530E3C" w:rsidRDefault="007F49E4" w:rsidP="004701C1">
            <w:pPr>
              <w:rPr>
                <w:rFonts w:cs="Calibri"/>
                <w:sz w:val="24"/>
                <w:szCs w:val="24"/>
                <w:lang w:eastAsia="en-AU"/>
              </w:rPr>
            </w:pPr>
            <w:r w:rsidRPr="00530E3C">
              <w:rPr>
                <w:rFonts w:cs="Calibri"/>
                <w:sz w:val="24"/>
                <w:szCs w:val="24"/>
                <w:lang w:eastAsia="en-AU"/>
              </w:rPr>
              <w:t>44</w:t>
            </w:r>
          </w:p>
        </w:tc>
        <w:tc>
          <w:tcPr>
            <w:tcW w:w="4632" w:type="pct"/>
            <w:noWrap/>
            <w:vAlign w:val="center"/>
            <w:hideMark/>
          </w:tcPr>
          <w:p w14:paraId="49D1F18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 Russell Jennings</w:t>
            </w:r>
          </w:p>
        </w:tc>
      </w:tr>
      <w:tr w:rsidR="007F49E4" w:rsidRPr="00530E3C" w14:paraId="7FCE73D2" w14:textId="77777777" w:rsidTr="004701C1">
        <w:trPr>
          <w:trHeight w:val="340"/>
        </w:trPr>
        <w:tc>
          <w:tcPr>
            <w:tcW w:w="368" w:type="pct"/>
            <w:vAlign w:val="center"/>
            <w:hideMark/>
          </w:tcPr>
          <w:p w14:paraId="1881ABBD" w14:textId="77777777" w:rsidR="007F49E4" w:rsidRPr="00530E3C" w:rsidRDefault="007F49E4" w:rsidP="004701C1">
            <w:pPr>
              <w:rPr>
                <w:rFonts w:cs="Calibri"/>
                <w:sz w:val="24"/>
                <w:szCs w:val="24"/>
                <w:lang w:eastAsia="en-AU"/>
              </w:rPr>
            </w:pPr>
            <w:r w:rsidRPr="00530E3C">
              <w:rPr>
                <w:rFonts w:cs="Calibri"/>
                <w:sz w:val="24"/>
                <w:szCs w:val="24"/>
                <w:lang w:eastAsia="en-AU"/>
              </w:rPr>
              <w:t>45</w:t>
            </w:r>
          </w:p>
        </w:tc>
        <w:tc>
          <w:tcPr>
            <w:tcW w:w="4632" w:type="pct"/>
            <w:noWrap/>
            <w:vAlign w:val="center"/>
            <w:hideMark/>
          </w:tcPr>
          <w:p w14:paraId="41A64249"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Solar Citizens</w:t>
            </w:r>
          </w:p>
        </w:tc>
      </w:tr>
      <w:tr w:rsidR="007F49E4" w:rsidRPr="00530E3C" w14:paraId="37367EA4" w14:textId="77777777" w:rsidTr="004701C1">
        <w:trPr>
          <w:trHeight w:val="340"/>
        </w:trPr>
        <w:tc>
          <w:tcPr>
            <w:tcW w:w="368" w:type="pct"/>
            <w:vAlign w:val="center"/>
            <w:hideMark/>
          </w:tcPr>
          <w:p w14:paraId="2E3E2C29" w14:textId="77777777" w:rsidR="007F49E4" w:rsidRPr="00530E3C" w:rsidRDefault="007F49E4" w:rsidP="004701C1">
            <w:pPr>
              <w:rPr>
                <w:rFonts w:cs="Calibri"/>
                <w:sz w:val="24"/>
                <w:szCs w:val="24"/>
                <w:lang w:eastAsia="en-AU"/>
              </w:rPr>
            </w:pPr>
            <w:r w:rsidRPr="00530E3C">
              <w:rPr>
                <w:rFonts w:cs="Calibri"/>
                <w:sz w:val="24"/>
                <w:szCs w:val="24"/>
                <w:lang w:eastAsia="en-AU"/>
              </w:rPr>
              <w:t>46</w:t>
            </w:r>
          </w:p>
        </w:tc>
        <w:tc>
          <w:tcPr>
            <w:tcW w:w="4632" w:type="pct"/>
            <w:noWrap/>
            <w:vAlign w:val="center"/>
            <w:hideMark/>
          </w:tcPr>
          <w:p w14:paraId="2230F7E3" w14:textId="291EDB19" w:rsidR="007F49E4" w:rsidRPr="00530E3C" w:rsidRDefault="00917C5E" w:rsidP="004701C1">
            <w:pPr>
              <w:rPr>
                <w:rFonts w:cs="Calibri"/>
                <w:color w:val="000000"/>
                <w:sz w:val="24"/>
                <w:szCs w:val="24"/>
                <w:lang w:eastAsia="en-AU"/>
              </w:rPr>
            </w:pPr>
            <w:hyperlink r:id="rId25" w:history="1">
              <w:r w:rsidR="007F49E4" w:rsidRPr="00530E3C">
                <w:rPr>
                  <w:rFonts w:cs="Calibri"/>
                  <w:color w:val="000000"/>
                  <w:sz w:val="24"/>
                  <w:szCs w:val="24"/>
                  <w:lang w:eastAsia="en-AU"/>
                </w:rPr>
                <w:t xml:space="preserve">Miss </w:t>
              </w:r>
              <w:proofErr w:type="spellStart"/>
              <w:r w:rsidR="007F49E4" w:rsidRPr="00530E3C">
                <w:rPr>
                  <w:rFonts w:cs="Calibri"/>
                  <w:color w:val="000000"/>
                  <w:sz w:val="24"/>
                  <w:szCs w:val="24"/>
                  <w:lang w:eastAsia="en-AU"/>
                </w:rPr>
                <w:t>Kupakwashe</w:t>
              </w:r>
              <w:proofErr w:type="spellEnd"/>
              <w:r w:rsidR="007F49E4" w:rsidRPr="00530E3C">
                <w:rPr>
                  <w:rFonts w:cs="Calibri"/>
                  <w:color w:val="000000"/>
                  <w:sz w:val="24"/>
                  <w:szCs w:val="24"/>
                  <w:lang w:eastAsia="en-AU"/>
                </w:rPr>
                <w:t xml:space="preserve"> </w:t>
              </w:r>
              <w:proofErr w:type="spellStart"/>
              <w:r w:rsidR="007F49E4" w:rsidRPr="00530E3C">
                <w:rPr>
                  <w:rFonts w:cs="Calibri"/>
                  <w:color w:val="000000"/>
                  <w:sz w:val="24"/>
                  <w:szCs w:val="24"/>
                  <w:lang w:eastAsia="en-AU"/>
                </w:rPr>
                <w:t>Matangira</w:t>
              </w:r>
              <w:proofErr w:type="spellEnd"/>
            </w:hyperlink>
            <w:r w:rsidR="00771134">
              <w:rPr>
                <w:rFonts w:cs="Calibri"/>
                <w:color w:val="000000"/>
                <w:sz w:val="24"/>
                <w:szCs w:val="24"/>
                <w:lang w:eastAsia="en-AU"/>
              </w:rPr>
              <w:t xml:space="preserve">, </w:t>
            </w:r>
            <w:hyperlink r:id="rId26" w:tgtFrame="_blank" w:history="1">
              <w:r w:rsidR="00771134" w:rsidRPr="00662245">
                <w:rPr>
                  <w:rFonts w:cs="Calibri"/>
                  <w:color w:val="000000"/>
                  <w:sz w:val="24"/>
                  <w:szCs w:val="24"/>
                </w:rPr>
                <w:t xml:space="preserve">Tegan Clark, </w:t>
              </w:r>
              <w:proofErr w:type="spellStart"/>
              <w:r w:rsidR="00771134" w:rsidRPr="00662245">
                <w:rPr>
                  <w:rFonts w:cs="Calibri"/>
                  <w:color w:val="000000"/>
                  <w:sz w:val="24"/>
                  <w:szCs w:val="24"/>
                </w:rPr>
                <w:t>Anoopjot</w:t>
              </w:r>
              <w:proofErr w:type="spellEnd"/>
              <w:r w:rsidR="00771134" w:rsidRPr="00662245">
                <w:rPr>
                  <w:rFonts w:cs="Calibri"/>
                  <w:color w:val="000000"/>
                  <w:sz w:val="24"/>
                  <w:szCs w:val="24"/>
                </w:rPr>
                <w:t xml:space="preserve"> Gill, Remi Lynch, </w:t>
              </w:r>
              <w:proofErr w:type="spellStart"/>
              <w:r w:rsidR="00771134" w:rsidRPr="00662245">
                <w:rPr>
                  <w:rFonts w:cs="Calibri"/>
                  <w:color w:val="000000"/>
                  <w:sz w:val="24"/>
                  <w:szCs w:val="24"/>
                </w:rPr>
                <w:t>Eezu</w:t>
              </w:r>
              <w:proofErr w:type="spellEnd"/>
              <w:r w:rsidR="00771134" w:rsidRPr="00662245">
                <w:rPr>
                  <w:rFonts w:cs="Calibri"/>
                  <w:color w:val="000000"/>
                  <w:sz w:val="24"/>
                  <w:szCs w:val="24"/>
                </w:rPr>
                <w:t xml:space="preserve"> Tan, Fatima Merchant and Georgia </w:t>
              </w:r>
              <w:proofErr w:type="spellStart"/>
              <w:r w:rsidR="00771134" w:rsidRPr="00662245">
                <w:rPr>
                  <w:rFonts w:cs="Calibri"/>
                  <w:color w:val="000000"/>
                  <w:sz w:val="24"/>
                  <w:szCs w:val="24"/>
                </w:rPr>
                <w:t>Shakeshaft</w:t>
              </w:r>
              <w:proofErr w:type="spellEnd"/>
            </w:hyperlink>
          </w:p>
        </w:tc>
      </w:tr>
      <w:tr w:rsidR="007F49E4" w:rsidRPr="00530E3C" w14:paraId="1CEBBEBD" w14:textId="77777777" w:rsidTr="004701C1">
        <w:trPr>
          <w:trHeight w:val="340"/>
        </w:trPr>
        <w:tc>
          <w:tcPr>
            <w:tcW w:w="368" w:type="pct"/>
            <w:vAlign w:val="center"/>
            <w:hideMark/>
          </w:tcPr>
          <w:p w14:paraId="40A51991" w14:textId="77777777" w:rsidR="007F49E4" w:rsidRPr="00530E3C" w:rsidRDefault="007F49E4" w:rsidP="004701C1">
            <w:pPr>
              <w:rPr>
                <w:rFonts w:cs="Calibri"/>
                <w:sz w:val="24"/>
                <w:szCs w:val="24"/>
                <w:lang w:eastAsia="en-AU"/>
              </w:rPr>
            </w:pPr>
            <w:r w:rsidRPr="00530E3C">
              <w:rPr>
                <w:rFonts w:cs="Calibri"/>
                <w:sz w:val="24"/>
                <w:szCs w:val="24"/>
                <w:lang w:eastAsia="en-AU"/>
              </w:rPr>
              <w:t>46a</w:t>
            </w:r>
          </w:p>
        </w:tc>
        <w:tc>
          <w:tcPr>
            <w:tcW w:w="4632" w:type="pct"/>
            <w:noWrap/>
            <w:vAlign w:val="center"/>
            <w:hideMark/>
          </w:tcPr>
          <w:p w14:paraId="18D2AE2A" w14:textId="58EEB253" w:rsidR="007F49E4" w:rsidRPr="00530E3C" w:rsidRDefault="00917C5E" w:rsidP="004701C1">
            <w:pPr>
              <w:rPr>
                <w:rFonts w:cs="Calibri"/>
                <w:color w:val="000000"/>
                <w:sz w:val="24"/>
                <w:szCs w:val="24"/>
                <w:lang w:eastAsia="en-AU"/>
              </w:rPr>
            </w:pPr>
            <w:hyperlink r:id="rId27" w:history="1">
              <w:r w:rsidR="007F49E4" w:rsidRPr="00530E3C">
                <w:rPr>
                  <w:rFonts w:cs="Calibri"/>
                  <w:color w:val="000000"/>
                  <w:sz w:val="24"/>
                  <w:szCs w:val="24"/>
                  <w:lang w:eastAsia="en-AU"/>
                </w:rPr>
                <w:t xml:space="preserve">Miss </w:t>
              </w:r>
              <w:proofErr w:type="spellStart"/>
              <w:r w:rsidR="007F49E4" w:rsidRPr="00530E3C">
                <w:rPr>
                  <w:rFonts w:cs="Calibri"/>
                  <w:color w:val="000000"/>
                  <w:sz w:val="24"/>
                  <w:szCs w:val="24"/>
                  <w:lang w:eastAsia="en-AU"/>
                </w:rPr>
                <w:t>Kupakwashe</w:t>
              </w:r>
              <w:proofErr w:type="spellEnd"/>
              <w:r w:rsidR="007F49E4" w:rsidRPr="00530E3C">
                <w:rPr>
                  <w:rFonts w:cs="Calibri"/>
                  <w:color w:val="000000"/>
                  <w:sz w:val="24"/>
                  <w:szCs w:val="24"/>
                  <w:lang w:eastAsia="en-AU"/>
                </w:rPr>
                <w:t xml:space="preserve"> </w:t>
              </w:r>
              <w:proofErr w:type="spellStart"/>
              <w:r w:rsidR="007F49E4" w:rsidRPr="00530E3C">
                <w:rPr>
                  <w:rFonts w:cs="Calibri"/>
                  <w:color w:val="000000"/>
                  <w:sz w:val="24"/>
                  <w:szCs w:val="24"/>
                  <w:lang w:eastAsia="en-AU"/>
                </w:rPr>
                <w:t>Matangira</w:t>
              </w:r>
              <w:proofErr w:type="spellEnd"/>
            </w:hyperlink>
            <w:r w:rsidR="00771134">
              <w:rPr>
                <w:rFonts w:cs="Calibri"/>
                <w:color w:val="000000"/>
                <w:sz w:val="24"/>
                <w:szCs w:val="24"/>
                <w:lang w:eastAsia="en-AU"/>
              </w:rPr>
              <w:t xml:space="preserve">, </w:t>
            </w:r>
            <w:hyperlink r:id="rId28" w:tgtFrame="_blank" w:history="1">
              <w:r w:rsidR="00771134" w:rsidRPr="00662245">
                <w:rPr>
                  <w:rFonts w:cs="Calibri"/>
                  <w:color w:val="000000"/>
                  <w:sz w:val="24"/>
                  <w:szCs w:val="24"/>
                </w:rPr>
                <w:t xml:space="preserve">Tegan Clark, </w:t>
              </w:r>
              <w:proofErr w:type="spellStart"/>
              <w:r w:rsidR="00771134" w:rsidRPr="00662245">
                <w:rPr>
                  <w:rFonts w:cs="Calibri"/>
                  <w:color w:val="000000"/>
                  <w:sz w:val="24"/>
                  <w:szCs w:val="24"/>
                </w:rPr>
                <w:t>Anoopjot</w:t>
              </w:r>
              <w:proofErr w:type="spellEnd"/>
              <w:r w:rsidR="00771134" w:rsidRPr="00662245">
                <w:rPr>
                  <w:rFonts w:cs="Calibri"/>
                  <w:color w:val="000000"/>
                  <w:sz w:val="24"/>
                  <w:szCs w:val="24"/>
                </w:rPr>
                <w:t xml:space="preserve"> Gill, Remi Lynch, </w:t>
              </w:r>
              <w:proofErr w:type="spellStart"/>
              <w:r w:rsidR="00771134" w:rsidRPr="00662245">
                <w:rPr>
                  <w:rFonts w:cs="Calibri"/>
                  <w:color w:val="000000"/>
                  <w:sz w:val="24"/>
                  <w:szCs w:val="24"/>
                </w:rPr>
                <w:t>Eezu</w:t>
              </w:r>
              <w:proofErr w:type="spellEnd"/>
              <w:r w:rsidR="00771134" w:rsidRPr="00662245">
                <w:rPr>
                  <w:rFonts w:cs="Calibri"/>
                  <w:color w:val="000000"/>
                  <w:sz w:val="24"/>
                  <w:szCs w:val="24"/>
                </w:rPr>
                <w:t xml:space="preserve"> Tan, Fatima Merchant and Georgia </w:t>
              </w:r>
              <w:proofErr w:type="spellStart"/>
              <w:r w:rsidR="00771134" w:rsidRPr="00662245">
                <w:rPr>
                  <w:rFonts w:cs="Calibri"/>
                  <w:color w:val="000000"/>
                  <w:sz w:val="24"/>
                  <w:szCs w:val="24"/>
                </w:rPr>
                <w:t>Shakeshaft</w:t>
              </w:r>
              <w:proofErr w:type="spellEnd"/>
            </w:hyperlink>
          </w:p>
        </w:tc>
      </w:tr>
      <w:tr w:rsidR="007F49E4" w:rsidRPr="00530E3C" w14:paraId="52BB5FB6" w14:textId="77777777" w:rsidTr="004701C1">
        <w:trPr>
          <w:trHeight w:val="340"/>
        </w:trPr>
        <w:tc>
          <w:tcPr>
            <w:tcW w:w="368" w:type="pct"/>
            <w:vAlign w:val="center"/>
            <w:hideMark/>
          </w:tcPr>
          <w:p w14:paraId="1B0117C1" w14:textId="77777777" w:rsidR="007F49E4" w:rsidRPr="00530E3C" w:rsidRDefault="007F49E4" w:rsidP="004701C1">
            <w:pPr>
              <w:rPr>
                <w:rFonts w:cs="Calibri"/>
                <w:sz w:val="24"/>
                <w:szCs w:val="24"/>
                <w:lang w:eastAsia="en-AU"/>
              </w:rPr>
            </w:pPr>
            <w:r w:rsidRPr="00530E3C">
              <w:rPr>
                <w:rFonts w:cs="Calibri"/>
                <w:sz w:val="24"/>
                <w:szCs w:val="24"/>
                <w:lang w:eastAsia="en-AU"/>
              </w:rPr>
              <w:t>47</w:t>
            </w:r>
          </w:p>
        </w:tc>
        <w:tc>
          <w:tcPr>
            <w:tcW w:w="4632" w:type="pct"/>
            <w:noWrap/>
            <w:vAlign w:val="center"/>
            <w:hideMark/>
          </w:tcPr>
          <w:p w14:paraId="13F8F85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02C58C3C" w14:textId="77777777" w:rsidTr="004701C1">
        <w:trPr>
          <w:trHeight w:val="340"/>
        </w:trPr>
        <w:tc>
          <w:tcPr>
            <w:tcW w:w="368" w:type="pct"/>
            <w:vAlign w:val="center"/>
            <w:hideMark/>
          </w:tcPr>
          <w:p w14:paraId="7953B277" w14:textId="77777777" w:rsidR="007F49E4" w:rsidRPr="00530E3C" w:rsidRDefault="007F49E4" w:rsidP="004701C1">
            <w:pPr>
              <w:rPr>
                <w:rFonts w:cs="Calibri"/>
                <w:sz w:val="24"/>
                <w:szCs w:val="24"/>
                <w:lang w:eastAsia="en-AU"/>
              </w:rPr>
            </w:pPr>
            <w:r w:rsidRPr="00530E3C">
              <w:rPr>
                <w:rFonts w:cs="Calibri"/>
                <w:sz w:val="24"/>
                <w:szCs w:val="24"/>
                <w:lang w:eastAsia="en-AU"/>
              </w:rPr>
              <w:t>48</w:t>
            </w:r>
          </w:p>
        </w:tc>
        <w:tc>
          <w:tcPr>
            <w:tcW w:w="4632" w:type="pct"/>
            <w:noWrap/>
            <w:vAlign w:val="center"/>
            <w:hideMark/>
          </w:tcPr>
          <w:p w14:paraId="1AF267E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 Peter Foster-Bunch</w:t>
            </w:r>
          </w:p>
        </w:tc>
      </w:tr>
      <w:tr w:rsidR="007F49E4" w:rsidRPr="00530E3C" w14:paraId="521E94A9" w14:textId="77777777" w:rsidTr="004701C1">
        <w:trPr>
          <w:trHeight w:val="340"/>
        </w:trPr>
        <w:tc>
          <w:tcPr>
            <w:tcW w:w="368" w:type="pct"/>
            <w:vAlign w:val="center"/>
            <w:hideMark/>
          </w:tcPr>
          <w:p w14:paraId="6FA17AFD" w14:textId="77777777" w:rsidR="007F49E4" w:rsidRPr="00530E3C" w:rsidRDefault="007F49E4" w:rsidP="004701C1">
            <w:pPr>
              <w:rPr>
                <w:rFonts w:cs="Calibri"/>
                <w:sz w:val="24"/>
                <w:szCs w:val="24"/>
                <w:lang w:eastAsia="en-AU"/>
              </w:rPr>
            </w:pPr>
            <w:r w:rsidRPr="00530E3C">
              <w:rPr>
                <w:rFonts w:cs="Calibri"/>
                <w:sz w:val="24"/>
                <w:szCs w:val="24"/>
                <w:lang w:eastAsia="en-AU"/>
              </w:rPr>
              <w:t>49</w:t>
            </w:r>
          </w:p>
        </w:tc>
        <w:tc>
          <w:tcPr>
            <w:tcW w:w="4632" w:type="pct"/>
            <w:noWrap/>
            <w:vAlign w:val="center"/>
            <w:hideMark/>
          </w:tcPr>
          <w:p w14:paraId="20F827A9"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Ms Beverley Atkinson</w:t>
            </w:r>
          </w:p>
        </w:tc>
      </w:tr>
      <w:tr w:rsidR="007F49E4" w:rsidRPr="00530E3C" w14:paraId="45E6CBD6" w14:textId="77777777" w:rsidTr="004701C1">
        <w:trPr>
          <w:trHeight w:val="340"/>
        </w:trPr>
        <w:tc>
          <w:tcPr>
            <w:tcW w:w="368" w:type="pct"/>
            <w:vAlign w:val="center"/>
            <w:hideMark/>
          </w:tcPr>
          <w:p w14:paraId="7A39EF22" w14:textId="77777777" w:rsidR="007F49E4" w:rsidRPr="00530E3C" w:rsidRDefault="007F49E4" w:rsidP="004701C1">
            <w:pPr>
              <w:rPr>
                <w:rFonts w:cs="Calibri"/>
                <w:sz w:val="24"/>
                <w:szCs w:val="24"/>
                <w:lang w:eastAsia="en-AU"/>
              </w:rPr>
            </w:pPr>
            <w:r w:rsidRPr="00530E3C">
              <w:rPr>
                <w:rFonts w:cs="Calibri"/>
                <w:sz w:val="24"/>
                <w:szCs w:val="24"/>
                <w:lang w:eastAsia="en-AU"/>
              </w:rPr>
              <w:t>50</w:t>
            </w:r>
          </w:p>
        </w:tc>
        <w:tc>
          <w:tcPr>
            <w:tcW w:w="4632" w:type="pct"/>
            <w:noWrap/>
            <w:vAlign w:val="center"/>
            <w:hideMark/>
          </w:tcPr>
          <w:p w14:paraId="1B97E01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Stephen Spencer</w:t>
            </w:r>
          </w:p>
        </w:tc>
      </w:tr>
      <w:tr w:rsidR="007F49E4" w:rsidRPr="00530E3C" w14:paraId="5738174B" w14:textId="77777777" w:rsidTr="004701C1">
        <w:trPr>
          <w:trHeight w:val="340"/>
        </w:trPr>
        <w:tc>
          <w:tcPr>
            <w:tcW w:w="368" w:type="pct"/>
            <w:noWrap/>
            <w:vAlign w:val="center"/>
            <w:hideMark/>
          </w:tcPr>
          <w:p w14:paraId="4226AA2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51</w:t>
            </w:r>
          </w:p>
        </w:tc>
        <w:tc>
          <w:tcPr>
            <w:tcW w:w="4632" w:type="pct"/>
            <w:noWrap/>
            <w:vAlign w:val="center"/>
            <w:hideMark/>
          </w:tcPr>
          <w:p w14:paraId="6059A89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Darren Johnson</w:t>
            </w:r>
          </w:p>
        </w:tc>
      </w:tr>
      <w:tr w:rsidR="007F49E4" w:rsidRPr="00530E3C" w14:paraId="1AE21918" w14:textId="77777777" w:rsidTr="004701C1">
        <w:trPr>
          <w:trHeight w:val="340"/>
        </w:trPr>
        <w:tc>
          <w:tcPr>
            <w:tcW w:w="368" w:type="pct"/>
            <w:noWrap/>
            <w:vAlign w:val="center"/>
            <w:hideMark/>
          </w:tcPr>
          <w:p w14:paraId="1DE27921"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52</w:t>
            </w:r>
          </w:p>
        </w:tc>
        <w:tc>
          <w:tcPr>
            <w:tcW w:w="4632" w:type="pct"/>
            <w:noWrap/>
            <w:vAlign w:val="center"/>
            <w:hideMark/>
          </w:tcPr>
          <w:p w14:paraId="144DBB83" w14:textId="4BE2A349" w:rsidR="007F49E4" w:rsidRPr="00530E3C" w:rsidRDefault="00867C9A" w:rsidP="004701C1">
            <w:pPr>
              <w:rPr>
                <w:rFonts w:cs="Calibri"/>
                <w:color w:val="000000"/>
                <w:sz w:val="24"/>
                <w:szCs w:val="24"/>
                <w:lang w:eastAsia="en-AU"/>
              </w:rPr>
            </w:pPr>
            <w:r>
              <w:rPr>
                <w:rFonts w:cs="Calibri"/>
                <w:color w:val="000000"/>
                <w:sz w:val="24"/>
                <w:szCs w:val="24"/>
                <w:lang w:eastAsia="en-AU"/>
              </w:rPr>
              <w:t>Name Suppressed</w:t>
            </w:r>
          </w:p>
        </w:tc>
      </w:tr>
      <w:tr w:rsidR="007F49E4" w:rsidRPr="00530E3C" w14:paraId="4F79D1FB" w14:textId="77777777" w:rsidTr="004701C1">
        <w:trPr>
          <w:trHeight w:val="340"/>
        </w:trPr>
        <w:tc>
          <w:tcPr>
            <w:tcW w:w="368" w:type="pct"/>
            <w:noWrap/>
            <w:vAlign w:val="center"/>
            <w:hideMark/>
          </w:tcPr>
          <w:p w14:paraId="6EE9615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53</w:t>
            </w:r>
          </w:p>
        </w:tc>
        <w:tc>
          <w:tcPr>
            <w:tcW w:w="4632" w:type="pct"/>
            <w:noWrap/>
            <w:vAlign w:val="center"/>
            <w:hideMark/>
          </w:tcPr>
          <w:p w14:paraId="0A484C9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Lock the Gate Alliance</w:t>
            </w:r>
          </w:p>
        </w:tc>
      </w:tr>
      <w:tr w:rsidR="007F49E4" w:rsidRPr="00530E3C" w14:paraId="2932EE5B" w14:textId="77777777" w:rsidTr="004701C1">
        <w:trPr>
          <w:trHeight w:val="340"/>
        </w:trPr>
        <w:tc>
          <w:tcPr>
            <w:tcW w:w="368" w:type="pct"/>
            <w:noWrap/>
            <w:vAlign w:val="center"/>
            <w:hideMark/>
          </w:tcPr>
          <w:p w14:paraId="0F79754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54</w:t>
            </w:r>
          </w:p>
        </w:tc>
        <w:tc>
          <w:tcPr>
            <w:tcW w:w="4632" w:type="pct"/>
            <w:noWrap/>
            <w:vAlign w:val="center"/>
            <w:hideMark/>
          </w:tcPr>
          <w:p w14:paraId="41942E1B"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National Environmental Law Association</w:t>
            </w:r>
          </w:p>
        </w:tc>
      </w:tr>
      <w:tr w:rsidR="007F49E4" w:rsidRPr="00530E3C" w14:paraId="0471389F" w14:textId="77777777" w:rsidTr="004701C1">
        <w:trPr>
          <w:trHeight w:val="340"/>
        </w:trPr>
        <w:tc>
          <w:tcPr>
            <w:tcW w:w="368" w:type="pct"/>
            <w:noWrap/>
            <w:vAlign w:val="center"/>
            <w:hideMark/>
          </w:tcPr>
          <w:p w14:paraId="21EEE09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55</w:t>
            </w:r>
          </w:p>
        </w:tc>
        <w:tc>
          <w:tcPr>
            <w:tcW w:w="4632" w:type="pct"/>
            <w:noWrap/>
            <w:vAlign w:val="center"/>
            <w:hideMark/>
          </w:tcPr>
          <w:p w14:paraId="642BD2C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Property Council of Australia</w:t>
            </w:r>
          </w:p>
        </w:tc>
      </w:tr>
      <w:tr w:rsidR="007F49E4" w:rsidRPr="00530E3C" w14:paraId="3DB07A2A" w14:textId="77777777" w:rsidTr="004701C1">
        <w:trPr>
          <w:trHeight w:val="340"/>
        </w:trPr>
        <w:tc>
          <w:tcPr>
            <w:tcW w:w="368" w:type="pct"/>
            <w:noWrap/>
            <w:vAlign w:val="center"/>
            <w:hideMark/>
          </w:tcPr>
          <w:p w14:paraId="0695E071"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56</w:t>
            </w:r>
          </w:p>
        </w:tc>
        <w:tc>
          <w:tcPr>
            <w:tcW w:w="4632" w:type="pct"/>
            <w:noWrap/>
            <w:vAlign w:val="center"/>
            <w:hideMark/>
          </w:tcPr>
          <w:p w14:paraId="3ED0052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The Superpower Institute Ltd</w:t>
            </w:r>
          </w:p>
        </w:tc>
      </w:tr>
      <w:tr w:rsidR="007F49E4" w:rsidRPr="00530E3C" w14:paraId="1F041581" w14:textId="77777777" w:rsidTr="004701C1">
        <w:trPr>
          <w:trHeight w:val="340"/>
        </w:trPr>
        <w:tc>
          <w:tcPr>
            <w:tcW w:w="368" w:type="pct"/>
            <w:noWrap/>
            <w:vAlign w:val="center"/>
            <w:hideMark/>
          </w:tcPr>
          <w:p w14:paraId="364B8256"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57</w:t>
            </w:r>
          </w:p>
        </w:tc>
        <w:tc>
          <w:tcPr>
            <w:tcW w:w="4632" w:type="pct"/>
            <w:noWrap/>
            <w:vAlign w:val="center"/>
            <w:hideMark/>
          </w:tcPr>
          <w:p w14:paraId="09D3F85C"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Sydney Knitting Nannas</w:t>
            </w:r>
          </w:p>
        </w:tc>
      </w:tr>
      <w:tr w:rsidR="007F49E4" w:rsidRPr="00530E3C" w14:paraId="2090FBED" w14:textId="77777777" w:rsidTr="004701C1">
        <w:trPr>
          <w:trHeight w:val="340"/>
        </w:trPr>
        <w:tc>
          <w:tcPr>
            <w:tcW w:w="368" w:type="pct"/>
            <w:noWrap/>
            <w:vAlign w:val="center"/>
            <w:hideMark/>
          </w:tcPr>
          <w:p w14:paraId="7AB9CA7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58</w:t>
            </w:r>
          </w:p>
        </w:tc>
        <w:tc>
          <w:tcPr>
            <w:tcW w:w="4632" w:type="pct"/>
            <w:noWrap/>
            <w:vAlign w:val="center"/>
            <w:hideMark/>
          </w:tcPr>
          <w:p w14:paraId="4498C71E"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Environmental Defenders Office (EDO)</w:t>
            </w:r>
          </w:p>
        </w:tc>
      </w:tr>
      <w:tr w:rsidR="007F49E4" w:rsidRPr="00530E3C" w14:paraId="69FD7A8D" w14:textId="77777777" w:rsidTr="004701C1">
        <w:trPr>
          <w:trHeight w:val="340"/>
        </w:trPr>
        <w:tc>
          <w:tcPr>
            <w:tcW w:w="368" w:type="pct"/>
            <w:noWrap/>
            <w:vAlign w:val="center"/>
          </w:tcPr>
          <w:p w14:paraId="751D68D1" w14:textId="77777777" w:rsidR="007F49E4" w:rsidRPr="00530E3C" w:rsidRDefault="007F49E4" w:rsidP="004701C1">
            <w:pPr>
              <w:rPr>
                <w:rFonts w:cs="Calibri"/>
                <w:color w:val="000000"/>
                <w:sz w:val="24"/>
                <w:szCs w:val="24"/>
                <w:lang w:eastAsia="en-AU"/>
              </w:rPr>
            </w:pPr>
            <w:r>
              <w:rPr>
                <w:rFonts w:cs="Calibri"/>
                <w:color w:val="000000"/>
                <w:sz w:val="24"/>
                <w:szCs w:val="24"/>
                <w:lang w:eastAsia="en-AU"/>
              </w:rPr>
              <w:t>59</w:t>
            </w:r>
          </w:p>
        </w:tc>
        <w:tc>
          <w:tcPr>
            <w:tcW w:w="4632" w:type="pct"/>
            <w:noWrap/>
            <w:vAlign w:val="center"/>
          </w:tcPr>
          <w:p w14:paraId="044B2333" w14:textId="77777777" w:rsidR="007F49E4" w:rsidRPr="00530E3C" w:rsidRDefault="007F49E4" w:rsidP="004701C1">
            <w:pPr>
              <w:rPr>
                <w:rFonts w:cs="Calibri"/>
                <w:color w:val="000000"/>
                <w:sz w:val="24"/>
                <w:szCs w:val="24"/>
                <w:lang w:eastAsia="en-AU"/>
              </w:rPr>
            </w:pPr>
            <w:r>
              <w:rPr>
                <w:rFonts w:cs="Calibri"/>
                <w:color w:val="000000"/>
                <w:sz w:val="24"/>
                <w:szCs w:val="24"/>
                <w:lang w:eastAsia="en-AU"/>
              </w:rPr>
              <w:t>Green Building Council of Australia</w:t>
            </w:r>
          </w:p>
        </w:tc>
      </w:tr>
      <w:tr w:rsidR="007F49E4" w:rsidRPr="00530E3C" w14:paraId="28573829" w14:textId="77777777" w:rsidTr="004701C1">
        <w:trPr>
          <w:trHeight w:val="340"/>
        </w:trPr>
        <w:tc>
          <w:tcPr>
            <w:tcW w:w="368" w:type="pct"/>
            <w:noWrap/>
            <w:vAlign w:val="center"/>
            <w:hideMark/>
          </w:tcPr>
          <w:p w14:paraId="3C536EC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60</w:t>
            </w:r>
          </w:p>
        </w:tc>
        <w:tc>
          <w:tcPr>
            <w:tcW w:w="4632" w:type="pct"/>
            <w:vAlign w:val="center"/>
            <w:hideMark/>
          </w:tcPr>
          <w:p w14:paraId="67CDB649"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Canterbury Bankstown Climate Action Network</w:t>
            </w:r>
          </w:p>
        </w:tc>
      </w:tr>
      <w:tr w:rsidR="007F49E4" w:rsidRPr="00530E3C" w14:paraId="0B1B671E" w14:textId="77777777" w:rsidTr="004701C1">
        <w:trPr>
          <w:trHeight w:val="340"/>
        </w:trPr>
        <w:tc>
          <w:tcPr>
            <w:tcW w:w="368" w:type="pct"/>
            <w:noWrap/>
            <w:vAlign w:val="center"/>
            <w:hideMark/>
          </w:tcPr>
          <w:p w14:paraId="35123CCF"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61</w:t>
            </w:r>
          </w:p>
        </w:tc>
        <w:tc>
          <w:tcPr>
            <w:tcW w:w="4632" w:type="pct"/>
            <w:noWrap/>
            <w:vAlign w:val="center"/>
            <w:hideMark/>
          </w:tcPr>
          <w:p w14:paraId="17B3A8B8"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Ember</w:t>
            </w:r>
          </w:p>
        </w:tc>
      </w:tr>
      <w:tr w:rsidR="007F49E4" w:rsidRPr="00530E3C" w14:paraId="6405976F" w14:textId="77777777" w:rsidTr="004701C1">
        <w:trPr>
          <w:trHeight w:val="340"/>
        </w:trPr>
        <w:tc>
          <w:tcPr>
            <w:tcW w:w="368" w:type="pct"/>
            <w:noWrap/>
            <w:vAlign w:val="center"/>
            <w:hideMark/>
          </w:tcPr>
          <w:p w14:paraId="354FAC8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62</w:t>
            </w:r>
          </w:p>
        </w:tc>
        <w:tc>
          <w:tcPr>
            <w:tcW w:w="4632" w:type="pct"/>
            <w:noWrap/>
            <w:vAlign w:val="center"/>
            <w:hideMark/>
          </w:tcPr>
          <w:p w14:paraId="4C99E36C"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Mudgee District Environment Group</w:t>
            </w:r>
          </w:p>
        </w:tc>
      </w:tr>
      <w:tr w:rsidR="007F49E4" w:rsidRPr="00530E3C" w14:paraId="156728C0" w14:textId="77777777" w:rsidTr="004701C1">
        <w:trPr>
          <w:trHeight w:val="340"/>
        </w:trPr>
        <w:tc>
          <w:tcPr>
            <w:tcW w:w="368" w:type="pct"/>
            <w:noWrap/>
            <w:vAlign w:val="center"/>
            <w:hideMark/>
          </w:tcPr>
          <w:p w14:paraId="458F5A9C"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63</w:t>
            </w:r>
          </w:p>
        </w:tc>
        <w:tc>
          <w:tcPr>
            <w:tcW w:w="4632" w:type="pct"/>
            <w:vAlign w:val="center"/>
            <w:hideMark/>
          </w:tcPr>
          <w:p w14:paraId="2793F1FC"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Institute for Energy Economics and Financial Analysis</w:t>
            </w:r>
          </w:p>
        </w:tc>
      </w:tr>
      <w:tr w:rsidR="007F49E4" w:rsidRPr="00530E3C" w14:paraId="1D01FCCC" w14:textId="77777777" w:rsidTr="004701C1">
        <w:trPr>
          <w:trHeight w:val="340"/>
        </w:trPr>
        <w:tc>
          <w:tcPr>
            <w:tcW w:w="368" w:type="pct"/>
            <w:noWrap/>
            <w:vAlign w:val="center"/>
            <w:hideMark/>
          </w:tcPr>
          <w:p w14:paraId="3193111D"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64</w:t>
            </w:r>
          </w:p>
        </w:tc>
        <w:tc>
          <w:tcPr>
            <w:tcW w:w="4632" w:type="pct"/>
            <w:noWrap/>
            <w:vAlign w:val="center"/>
            <w:hideMark/>
          </w:tcPr>
          <w:p w14:paraId="7204445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Ms Angela Michaelis</w:t>
            </w:r>
          </w:p>
        </w:tc>
      </w:tr>
      <w:tr w:rsidR="007F49E4" w:rsidRPr="00530E3C" w14:paraId="5EFF181A" w14:textId="77777777" w:rsidTr="004701C1">
        <w:trPr>
          <w:trHeight w:val="340"/>
        </w:trPr>
        <w:tc>
          <w:tcPr>
            <w:tcW w:w="368" w:type="pct"/>
            <w:noWrap/>
            <w:vAlign w:val="center"/>
            <w:hideMark/>
          </w:tcPr>
          <w:p w14:paraId="704BDF2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65</w:t>
            </w:r>
          </w:p>
        </w:tc>
        <w:tc>
          <w:tcPr>
            <w:tcW w:w="4632" w:type="pct"/>
            <w:noWrap/>
            <w:vAlign w:val="center"/>
            <w:hideMark/>
          </w:tcPr>
          <w:p w14:paraId="29BC81C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Geni Energy</w:t>
            </w:r>
          </w:p>
        </w:tc>
      </w:tr>
      <w:tr w:rsidR="007F49E4" w:rsidRPr="00530E3C" w14:paraId="21512EB3" w14:textId="77777777" w:rsidTr="004701C1">
        <w:trPr>
          <w:trHeight w:val="340"/>
        </w:trPr>
        <w:tc>
          <w:tcPr>
            <w:tcW w:w="368" w:type="pct"/>
            <w:noWrap/>
            <w:vAlign w:val="center"/>
            <w:hideMark/>
          </w:tcPr>
          <w:p w14:paraId="7B4C73D6"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66</w:t>
            </w:r>
          </w:p>
        </w:tc>
        <w:tc>
          <w:tcPr>
            <w:tcW w:w="4632" w:type="pct"/>
            <w:noWrap/>
            <w:vAlign w:val="center"/>
            <w:hideMark/>
          </w:tcPr>
          <w:p w14:paraId="3F04C32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Mr Steve </w:t>
            </w:r>
            <w:proofErr w:type="spellStart"/>
            <w:r w:rsidRPr="00530E3C">
              <w:rPr>
                <w:rFonts w:cs="Calibri"/>
                <w:color w:val="000000"/>
                <w:sz w:val="24"/>
                <w:szCs w:val="24"/>
                <w:lang w:eastAsia="en-AU"/>
              </w:rPr>
              <w:t>Garthwin</w:t>
            </w:r>
            <w:proofErr w:type="spellEnd"/>
          </w:p>
        </w:tc>
      </w:tr>
      <w:tr w:rsidR="007F49E4" w:rsidRPr="00530E3C" w14:paraId="68B46AEE" w14:textId="77777777" w:rsidTr="004701C1">
        <w:trPr>
          <w:trHeight w:val="340"/>
        </w:trPr>
        <w:tc>
          <w:tcPr>
            <w:tcW w:w="368" w:type="pct"/>
            <w:noWrap/>
            <w:vAlign w:val="center"/>
            <w:hideMark/>
          </w:tcPr>
          <w:p w14:paraId="42795D52"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67</w:t>
            </w:r>
          </w:p>
        </w:tc>
        <w:tc>
          <w:tcPr>
            <w:tcW w:w="4632" w:type="pct"/>
            <w:noWrap/>
            <w:vAlign w:val="center"/>
            <w:hideMark/>
          </w:tcPr>
          <w:p w14:paraId="44FDF9E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0DDFCF4F" w14:textId="77777777" w:rsidTr="004701C1">
        <w:trPr>
          <w:trHeight w:val="340"/>
        </w:trPr>
        <w:tc>
          <w:tcPr>
            <w:tcW w:w="368" w:type="pct"/>
            <w:noWrap/>
            <w:vAlign w:val="center"/>
            <w:hideMark/>
          </w:tcPr>
          <w:p w14:paraId="6C7716A2" w14:textId="45D82950"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68</w:t>
            </w:r>
          </w:p>
        </w:tc>
        <w:tc>
          <w:tcPr>
            <w:tcW w:w="4632" w:type="pct"/>
            <w:noWrap/>
            <w:vAlign w:val="center"/>
            <w:hideMark/>
          </w:tcPr>
          <w:p w14:paraId="2FAC2D7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Dr Julia Imrie</w:t>
            </w:r>
          </w:p>
        </w:tc>
      </w:tr>
      <w:tr w:rsidR="007F49E4" w:rsidRPr="00530E3C" w14:paraId="6817565D" w14:textId="77777777" w:rsidTr="004701C1">
        <w:trPr>
          <w:trHeight w:val="340"/>
        </w:trPr>
        <w:tc>
          <w:tcPr>
            <w:tcW w:w="368" w:type="pct"/>
            <w:noWrap/>
            <w:vAlign w:val="center"/>
            <w:hideMark/>
          </w:tcPr>
          <w:p w14:paraId="5E20D52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69</w:t>
            </w:r>
          </w:p>
        </w:tc>
        <w:tc>
          <w:tcPr>
            <w:tcW w:w="4632" w:type="pct"/>
            <w:noWrap/>
            <w:vAlign w:val="center"/>
            <w:hideMark/>
          </w:tcPr>
          <w:p w14:paraId="2C9E0FA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4C18BC7D" w14:textId="77777777" w:rsidTr="004701C1">
        <w:trPr>
          <w:trHeight w:val="340"/>
        </w:trPr>
        <w:tc>
          <w:tcPr>
            <w:tcW w:w="368" w:type="pct"/>
            <w:noWrap/>
            <w:vAlign w:val="center"/>
            <w:hideMark/>
          </w:tcPr>
          <w:p w14:paraId="6259118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70</w:t>
            </w:r>
          </w:p>
        </w:tc>
        <w:tc>
          <w:tcPr>
            <w:tcW w:w="4632" w:type="pct"/>
            <w:noWrap/>
            <w:vAlign w:val="center"/>
            <w:hideMark/>
          </w:tcPr>
          <w:p w14:paraId="0E01C5BB"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 xml:space="preserve">Colleen </w:t>
            </w:r>
            <w:proofErr w:type="spellStart"/>
            <w:r w:rsidRPr="00530E3C">
              <w:rPr>
                <w:rFonts w:cs="Calibri"/>
                <w:color w:val="000000"/>
                <w:sz w:val="24"/>
                <w:szCs w:val="24"/>
                <w:lang w:eastAsia="en-AU"/>
              </w:rPr>
              <w:t>Wysser</w:t>
            </w:r>
            <w:proofErr w:type="spellEnd"/>
            <w:r w:rsidRPr="00530E3C">
              <w:rPr>
                <w:rFonts w:cs="Calibri"/>
                <w:color w:val="000000"/>
                <w:sz w:val="24"/>
                <w:szCs w:val="24"/>
                <w:lang w:eastAsia="en-AU"/>
              </w:rPr>
              <w:t>-Martin</w:t>
            </w:r>
          </w:p>
        </w:tc>
      </w:tr>
      <w:tr w:rsidR="007F49E4" w:rsidRPr="00530E3C" w14:paraId="08B31733" w14:textId="77777777" w:rsidTr="004701C1">
        <w:trPr>
          <w:trHeight w:val="340"/>
        </w:trPr>
        <w:tc>
          <w:tcPr>
            <w:tcW w:w="368" w:type="pct"/>
            <w:noWrap/>
            <w:vAlign w:val="center"/>
            <w:hideMark/>
          </w:tcPr>
          <w:p w14:paraId="6C03F50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71</w:t>
            </w:r>
          </w:p>
        </w:tc>
        <w:tc>
          <w:tcPr>
            <w:tcW w:w="4632" w:type="pct"/>
            <w:noWrap/>
            <w:vAlign w:val="center"/>
            <w:hideMark/>
          </w:tcPr>
          <w:p w14:paraId="6EDC03C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Dr Jennifer Nicholls</w:t>
            </w:r>
          </w:p>
        </w:tc>
      </w:tr>
      <w:tr w:rsidR="007F49E4" w:rsidRPr="00530E3C" w14:paraId="485C1889" w14:textId="77777777" w:rsidTr="004701C1">
        <w:trPr>
          <w:trHeight w:val="340"/>
        </w:trPr>
        <w:tc>
          <w:tcPr>
            <w:tcW w:w="368" w:type="pct"/>
            <w:noWrap/>
            <w:vAlign w:val="center"/>
            <w:hideMark/>
          </w:tcPr>
          <w:p w14:paraId="598DC103"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72</w:t>
            </w:r>
          </w:p>
        </w:tc>
        <w:tc>
          <w:tcPr>
            <w:tcW w:w="4632" w:type="pct"/>
            <w:noWrap/>
            <w:vAlign w:val="center"/>
            <w:hideMark/>
          </w:tcPr>
          <w:p w14:paraId="2E3286DA"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Mrs Sarah Lukeman</w:t>
            </w:r>
          </w:p>
        </w:tc>
      </w:tr>
      <w:tr w:rsidR="007F49E4" w:rsidRPr="00530E3C" w14:paraId="6AC07C1B" w14:textId="77777777" w:rsidTr="004701C1">
        <w:trPr>
          <w:trHeight w:val="340"/>
        </w:trPr>
        <w:tc>
          <w:tcPr>
            <w:tcW w:w="368" w:type="pct"/>
            <w:noWrap/>
            <w:vAlign w:val="center"/>
            <w:hideMark/>
          </w:tcPr>
          <w:p w14:paraId="10262B8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73</w:t>
            </w:r>
          </w:p>
        </w:tc>
        <w:tc>
          <w:tcPr>
            <w:tcW w:w="4632" w:type="pct"/>
            <w:noWrap/>
            <w:vAlign w:val="center"/>
            <w:hideMark/>
          </w:tcPr>
          <w:p w14:paraId="2360487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Karen Taylor</w:t>
            </w:r>
          </w:p>
        </w:tc>
      </w:tr>
      <w:tr w:rsidR="007F49E4" w:rsidRPr="00530E3C" w14:paraId="4C9CBBB2" w14:textId="77777777" w:rsidTr="004701C1">
        <w:trPr>
          <w:trHeight w:val="340"/>
        </w:trPr>
        <w:tc>
          <w:tcPr>
            <w:tcW w:w="368" w:type="pct"/>
            <w:noWrap/>
            <w:vAlign w:val="center"/>
            <w:hideMark/>
          </w:tcPr>
          <w:p w14:paraId="75660C3F"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74</w:t>
            </w:r>
          </w:p>
        </w:tc>
        <w:tc>
          <w:tcPr>
            <w:tcW w:w="4632" w:type="pct"/>
            <w:noWrap/>
            <w:vAlign w:val="center"/>
            <w:hideMark/>
          </w:tcPr>
          <w:p w14:paraId="66F0B11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Mr Les Johnston</w:t>
            </w:r>
          </w:p>
        </w:tc>
      </w:tr>
      <w:tr w:rsidR="007F49E4" w:rsidRPr="00530E3C" w14:paraId="390248A2" w14:textId="77777777" w:rsidTr="004701C1">
        <w:trPr>
          <w:trHeight w:val="340"/>
        </w:trPr>
        <w:tc>
          <w:tcPr>
            <w:tcW w:w="368" w:type="pct"/>
            <w:noWrap/>
            <w:vAlign w:val="center"/>
            <w:hideMark/>
          </w:tcPr>
          <w:p w14:paraId="33D9731B"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75</w:t>
            </w:r>
          </w:p>
        </w:tc>
        <w:tc>
          <w:tcPr>
            <w:tcW w:w="4632" w:type="pct"/>
            <w:noWrap/>
            <w:vAlign w:val="center"/>
            <w:hideMark/>
          </w:tcPr>
          <w:p w14:paraId="3821ABAD"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Denman Aberdeen Muswellbrook Scone Healthy Environment Group Inc</w:t>
            </w:r>
          </w:p>
        </w:tc>
      </w:tr>
      <w:tr w:rsidR="007F49E4" w:rsidRPr="00530E3C" w14:paraId="3D940273" w14:textId="77777777" w:rsidTr="004701C1">
        <w:trPr>
          <w:trHeight w:val="340"/>
        </w:trPr>
        <w:tc>
          <w:tcPr>
            <w:tcW w:w="368" w:type="pct"/>
            <w:noWrap/>
            <w:vAlign w:val="center"/>
            <w:hideMark/>
          </w:tcPr>
          <w:p w14:paraId="27A9383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76</w:t>
            </w:r>
          </w:p>
        </w:tc>
        <w:tc>
          <w:tcPr>
            <w:tcW w:w="4632" w:type="pct"/>
            <w:noWrap/>
            <w:vAlign w:val="center"/>
            <w:hideMark/>
          </w:tcPr>
          <w:p w14:paraId="21DE1C6D"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Clean Energy Investor Group (CEIG)</w:t>
            </w:r>
          </w:p>
        </w:tc>
      </w:tr>
      <w:tr w:rsidR="007F49E4" w:rsidRPr="00530E3C" w14:paraId="084EE796" w14:textId="77777777" w:rsidTr="004701C1">
        <w:trPr>
          <w:trHeight w:val="340"/>
        </w:trPr>
        <w:tc>
          <w:tcPr>
            <w:tcW w:w="368" w:type="pct"/>
            <w:noWrap/>
            <w:vAlign w:val="center"/>
            <w:hideMark/>
          </w:tcPr>
          <w:p w14:paraId="722EC90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77</w:t>
            </w:r>
          </w:p>
        </w:tc>
        <w:tc>
          <w:tcPr>
            <w:tcW w:w="4632" w:type="pct"/>
            <w:noWrap/>
            <w:vAlign w:val="center"/>
            <w:hideMark/>
          </w:tcPr>
          <w:p w14:paraId="07E2BD74"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Name Suppressed</w:t>
            </w:r>
          </w:p>
        </w:tc>
      </w:tr>
      <w:tr w:rsidR="007F49E4" w:rsidRPr="00530E3C" w14:paraId="0A420BF3" w14:textId="77777777" w:rsidTr="004701C1">
        <w:trPr>
          <w:trHeight w:val="340"/>
        </w:trPr>
        <w:tc>
          <w:tcPr>
            <w:tcW w:w="368" w:type="pct"/>
            <w:noWrap/>
            <w:vAlign w:val="center"/>
            <w:hideMark/>
          </w:tcPr>
          <w:p w14:paraId="56172C00"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78</w:t>
            </w:r>
          </w:p>
        </w:tc>
        <w:tc>
          <w:tcPr>
            <w:tcW w:w="4632" w:type="pct"/>
            <w:noWrap/>
            <w:vAlign w:val="center"/>
            <w:hideMark/>
          </w:tcPr>
          <w:p w14:paraId="51FFD2EB"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Investor Group on Climate Change</w:t>
            </w:r>
          </w:p>
        </w:tc>
      </w:tr>
      <w:tr w:rsidR="007F49E4" w:rsidRPr="00530E3C" w14:paraId="38175438" w14:textId="77777777" w:rsidTr="004701C1">
        <w:trPr>
          <w:trHeight w:val="340"/>
        </w:trPr>
        <w:tc>
          <w:tcPr>
            <w:tcW w:w="368" w:type="pct"/>
            <w:noWrap/>
            <w:vAlign w:val="center"/>
            <w:hideMark/>
          </w:tcPr>
          <w:p w14:paraId="22D128E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79</w:t>
            </w:r>
          </w:p>
        </w:tc>
        <w:tc>
          <w:tcPr>
            <w:tcW w:w="4632" w:type="pct"/>
            <w:noWrap/>
            <w:vAlign w:val="center"/>
            <w:hideMark/>
          </w:tcPr>
          <w:p w14:paraId="4D1A94D5"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The Australian Sustainable Built Environment Council</w:t>
            </w:r>
          </w:p>
        </w:tc>
      </w:tr>
      <w:tr w:rsidR="007F49E4" w:rsidRPr="00530E3C" w14:paraId="066285C9" w14:textId="77777777" w:rsidTr="004701C1">
        <w:trPr>
          <w:trHeight w:val="340"/>
        </w:trPr>
        <w:tc>
          <w:tcPr>
            <w:tcW w:w="368" w:type="pct"/>
            <w:noWrap/>
            <w:vAlign w:val="center"/>
            <w:hideMark/>
          </w:tcPr>
          <w:p w14:paraId="7206B90A"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80</w:t>
            </w:r>
          </w:p>
        </w:tc>
        <w:tc>
          <w:tcPr>
            <w:tcW w:w="4632" w:type="pct"/>
            <w:noWrap/>
            <w:vAlign w:val="center"/>
            <w:hideMark/>
          </w:tcPr>
          <w:p w14:paraId="06F5A687" w14:textId="77777777" w:rsidR="007F49E4" w:rsidRPr="00530E3C" w:rsidRDefault="007F49E4" w:rsidP="004701C1">
            <w:pPr>
              <w:rPr>
                <w:rFonts w:cs="Calibri"/>
                <w:color w:val="000000"/>
                <w:sz w:val="24"/>
                <w:szCs w:val="24"/>
                <w:lang w:eastAsia="en-AU"/>
              </w:rPr>
            </w:pPr>
            <w:r w:rsidRPr="00530E3C">
              <w:rPr>
                <w:rFonts w:cs="Calibri"/>
                <w:color w:val="000000"/>
                <w:sz w:val="24"/>
                <w:szCs w:val="24"/>
                <w:lang w:eastAsia="en-AU"/>
              </w:rPr>
              <w:t>Peak Carbon</w:t>
            </w:r>
          </w:p>
        </w:tc>
      </w:tr>
      <w:tr w:rsidR="007F49E4" w:rsidRPr="00530E3C" w14:paraId="237233A5" w14:textId="77777777" w:rsidTr="004701C1">
        <w:trPr>
          <w:trHeight w:val="340"/>
        </w:trPr>
        <w:tc>
          <w:tcPr>
            <w:tcW w:w="368" w:type="pct"/>
            <w:noWrap/>
            <w:vAlign w:val="center"/>
          </w:tcPr>
          <w:p w14:paraId="0CB31D0E" w14:textId="77777777" w:rsidR="007F49E4" w:rsidRPr="00530E3C" w:rsidRDefault="007F49E4" w:rsidP="004701C1">
            <w:pPr>
              <w:rPr>
                <w:rFonts w:cs="Calibri"/>
                <w:color w:val="000000"/>
                <w:sz w:val="24"/>
                <w:szCs w:val="24"/>
                <w:lang w:eastAsia="en-AU"/>
              </w:rPr>
            </w:pPr>
            <w:r>
              <w:rPr>
                <w:rFonts w:cs="Calibri"/>
                <w:color w:val="000000"/>
                <w:sz w:val="24"/>
                <w:szCs w:val="24"/>
                <w:lang w:eastAsia="en-AU"/>
              </w:rPr>
              <w:t>81</w:t>
            </w:r>
          </w:p>
        </w:tc>
        <w:tc>
          <w:tcPr>
            <w:tcW w:w="4632" w:type="pct"/>
            <w:noWrap/>
            <w:vAlign w:val="center"/>
          </w:tcPr>
          <w:p w14:paraId="4E6E5BEE" w14:textId="77777777" w:rsidR="007F49E4" w:rsidRPr="00530E3C" w:rsidRDefault="007F49E4" w:rsidP="004701C1">
            <w:pPr>
              <w:rPr>
                <w:rFonts w:cs="Calibri"/>
                <w:color w:val="000000"/>
                <w:sz w:val="24"/>
                <w:szCs w:val="24"/>
                <w:lang w:eastAsia="en-AU"/>
              </w:rPr>
            </w:pPr>
            <w:r>
              <w:rPr>
                <w:rFonts w:cs="Calibri"/>
                <w:color w:val="000000"/>
                <w:sz w:val="24"/>
                <w:szCs w:val="24"/>
                <w:lang w:eastAsia="en-AU"/>
              </w:rPr>
              <w:t>Ms Suzanna Page</w:t>
            </w:r>
          </w:p>
        </w:tc>
      </w:tr>
      <w:tr w:rsidR="007F49E4" w:rsidRPr="00530E3C" w14:paraId="12709096" w14:textId="77777777" w:rsidTr="004701C1">
        <w:trPr>
          <w:trHeight w:val="340"/>
        </w:trPr>
        <w:tc>
          <w:tcPr>
            <w:tcW w:w="368" w:type="pct"/>
            <w:noWrap/>
            <w:vAlign w:val="center"/>
          </w:tcPr>
          <w:p w14:paraId="6F3408CC" w14:textId="77777777" w:rsidR="007F49E4" w:rsidRDefault="007F49E4" w:rsidP="004701C1">
            <w:pPr>
              <w:rPr>
                <w:rFonts w:cs="Calibri"/>
                <w:color w:val="000000"/>
                <w:sz w:val="24"/>
                <w:szCs w:val="24"/>
                <w:lang w:eastAsia="en-AU"/>
              </w:rPr>
            </w:pPr>
            <w:r>
              <w:rPr>
                <w:rFonts w:cs="Calibri"/>
                <w:color w:val="000000"/>
                <w:sz w:val="24"/>
                <w:szCs w:val="24"/>
                <w:lang w:eastAsia="en-AU"/>
              </w:rPr>
              <w:t>82</w:t>
            </w:r>
          </w:p>
        </w:tc>
        <w:tc>
          <w:tcPr>
            <w:tcW w:w="4632" w:type="pct"/>
            <w:noWrap/>
            <w:vAlign w:val="center"/>
          </w:tcPr>
          <w:p w14:paraId="3A425B5E" w14:textId="77777777" w:rsidR="007F49E4" w:rsidRDefault="007F49E4" w:rsidP="004701C1">
            <w:pPr>
              <w:rPr>
                <w:rFonts w:cs="Calibri"/>
                <w:color w:val="000000"/>
                <w:sz w:val="24"/>
                <w:szCs w:val="24"/>
                <w:lang w:eastAsia="en-AU"/>
              </w:rPr>
            </w:pPr>
            <w:r>
              <w:rPr>
                <w:rFonts w:cs="Calibri"/>
                <w:color w:val="000000"/>
                <w:sz w:val="24"/>
                <w:szCs w:val="24"/>
                <w:lang w:eastAsia="en-AU"/>
              </w:rPr>
              <w:t>Australian Conservation Foundation</w:t>
            </w:r>
          </w:p>
        </w:tc>
      </w:tr>
      <w:tr w:rsidR="007F49E4" w:rsidRPr="00530E3C" w14:paraId="2B948015" w14:textId="77777777" w:rsidTr="004701C1">
        <w:trPr>
          <w:trHeight w:val="340"/>
        </w:trPr>
        <w:tc>
          <w:tcPr>
            <w:tcW w:w="368" w:type="pct"/>
            <w:noWrap/>
            <w:vAlign w:val="center"/>
          </w:tcPr>
          <w:p w14:paraId="03678F35" w14:textId="77777777" w:rsidR="007F49E4" w:rsidRDefault="007F49E4" w:rsidP="004701C1">
            <w:pPr>
              <w:rPr>
                <w:rFonts w:cs="Calibri"/>
                <w:color w:val="000000"/>
                <w:sz w:val="24"/>
                <w:szCs w:val="24"/>
                <w:lang w:eastAsia="en-AU"/>
              </w:rPr>
            </w:pPr>
            <w:r>
              <w:rPr>
                <w:rFonts w:cs="Calibri"/>
                <w:color w:val="000000"/>
                <w:sz w:val="24"/>
                <w:szCs w:val="24"/>
                <w:lang w:eastAsia="en-AU"/>
              </w:rPr>
              <w:t>83</w:t>
            </w:r>
          </w:p>
        </w:tc>
        <w:tc>
          <w:tcPr>
            <w:tcW w:w="4632" w:type="pct"/>
            <w:noWrap/>
            <w:vAlign w:val="center"/>
          </w:tcPr>
          <w:p w14:paraId="36ED8706" w14:textId="77777777" w:rsidR="007F49E4" w:rsidRDefault="007F49E4" w:rsidP="004701C1">
            <w:pPr>
              <w:rPr>
                <w:rFonts w:cs="Calibri"/>
                <w:color w:val="000000"/>
                <w:sz w:val="24"/>
                <w:szCs w:val="24"/>
                <w:lang w:eastAsia="en-AU"/>
              </w:rPr>
            </w:pPr>
            <w:r>
              <w:rPr>
                <w:rFonts w:cs="Calibri"/>
                <w:color w:val="000000"/>
                <w:sz w:val="24"/>
                <w:szCs w:val="24"/>
                <w:lang w:eastAsia="en-AU"/>
              </w:rPr>
              <w:t>Ryde Gladesville Climate Change Action Group</w:t>
            </w:r>
          </w:p>
        </w:tc>
      </w:tr>
      <w:tr w:rsidR="007F49E4" w:rsidRPr="00530E3C" w14:paraId="096A7F2B" w14:textId="77777777" w:rsidTr="004701C1">
        <w:trPr>
          <w:trHeight w:val="340"/>
        </w:trPr>
        <w:tc>
          <w:tcPr>
            <w:tcW w:w="368" w:type="pct"/>
            <w:noWrap/>
            <w:vAlign w:val="center"/>
          </w:tcPr>
          <w:p w14:paraId="1B18B2E5" w14:textId="77777777" w:rsidR="007F49E4" w:rsidRDefault="007F49E4" w:rsidP="004701C1">
            <w:pPr>
              <w:rPr>
                <w:rFonts w:cs="Calibri"/>
                <w:color w:val="000000"/>
                <w:sz w:val="24"/>
                <w:szCs w:val="24"/>
                <w:lang w:eastAsia="en-AU"/>
              </w:rPr>
            </w:pPr>
            <w:r>
              <w:rPr>
                <w:rFonts w:cs="Calibri"/>
                <w:color w:val="000000"/>
                <w:sz w:val="24"/>
                <w:szCs w:val="24"/>
                <w:lang w:eastAsia="en-AU"/>
              </w:rPr>
              <w:t>85</w:t>
            </w:r>
          </w:p>
        </w:tc>
        <w:tc>
          <w:tcPr>
            <w:tcW w:w="4632" w:type="pct"/>
            <w:noWrap/>
            <w:vAlign w:val="center"/>
          </w:tcPr>
          <w:p w14:paraId="1D93CC1E" w14:textId="77777777" w:rsidR="007F49E4" w:rsidRDefault="007F49E4" w:rsidP="004701C1">
            <w:pPr>
              <w:rPr>
                <w:rFonts w:cs="Calibri"/>
                <w:color w:val="000000"/>
                <w:sz w:val="24"/>
                <w:szCs w:val="24"/>
                <w:lang w:eastAsia="en-AU"/>
              </w:rPr>
            </w:pPr>
            <w:r>
              <w:rPr>
                <w:rFonts w:cs="Calibri"/>
                <w:color w:val="000000"/>
                <w:sz w:val="24"/>
                <w:szCs w:val="24"/>
                <w:lang w:eastAsia="en-AU"/>
              </w:rPr>
              <w:t>Ms Jennifer Gray</w:t>
            </w:r>
          </w:p>
        </w:tc>
      </w:tr>
      <w:tr w:rsidR="007F49E4" w:rsidRPr="00530E3C" w14:paraId="02DC03A7" w14:textId="77777777" w:rsidTr="004701C1">
        <w:trPr>
          <w:trHeight w:val="340"/>
        </w:trPr>
        <w:tc>
          <w:tcPr>
            <w:tcW w:w="368" w:type="pct"/>
            <w:noWrap/>
            <w:vAlign w:val="center"/>
          </w:tcPr>
          <w:p w14:paraId="559D5CA0" w14:textId="77777777" w:rsidR="007F49E4" w:rsidRDefault="007F49E4" w:rsidP="004701C1">
            <w:pPr>
              <w:rPr>
                <w:rFonts w:cs="Calibri"/>
                <w:color w:val="000000"/>
                <w:sz w:val="24"/>
                <w:szCs w:val="24"/>
                <w:lang w:eastAsia="en-AU"/>
              </w:rPr>
            </w:pPr>
            <w:r>
              <w:rPr>
                <w:rFonts w:cs="Calibri"/>
                <w:color w:val="000000"/>
                <w:sz w:val="24"/>
                <w:szCs w:val="24"/>
                <w:lang w:eastAsia="en-AU"/>
              </w:rPr>
              <w:t>86</w:t>
            </w:r>
          </w:p>
        </w:tc>
        <w:tc>
          <w:tcPr>
            <w:tcW w:w="4632" w:type="pct"/>
            <w:noWrap/>
            <w:vAlign w:val="center"/>
          </w:tcPr>
          <w:p w14:paraId="10F75552" w14:textId="77777777" w:rsidR="007F49E4" w:rsidRDefault="007F49E4" w:rsidP="004701C1">
            <w:pPr>
              <w:rPr>
                <w:rFonts w:cs="Calibri"/>
                <w:color w:val="000000"/>
                <w:sz w:val="24"/>
                <w:szCs w:val="24"/>
                <w:lang w:eastAsia="en-AU"/>
              </w:rPr>
            </w:pPr>
            <w:r>
              <w:rPr>
                <w:rFonts w:cs="Calibri"/>
                <w:color w:val="000000"/>
                <w:sz w:val="24"/>
                <w:szCs w:val="24"/>
                <w:lang w:eastAsia="en-AU"/>
              </w:rPr>
              <w:t xml:space="preserve">Mr Graeme </w:t>
            </w:r>
            <w:proofErr w:type="spellStart"/>
            <w:r>
              <w:rPr>
                <w:rFonts w:cs="Calibri"/>
                <w:color w:val="000000"/>
                <w:sz w:val="24"/>
                <w:szCs w:val="24"/>
                <w:lang w:eastAsia="en-AU"/>
              </w:rPr>
              <w:t>Batterbury</w:t>
            </w:r>
            <w:proofErr w:type="spellEnd"/>
          </w:p>
        </w:tc>
      </w:tr>
      <w:tr w:rsidR="007F49E4" w:rsidRPr="00530E3C" w14:paraId="5768FC17" w14:textId="77777777" w:rsidTr="004701C1">
        <w:trPr>
          <w:trHeight w:val="340"/>
        </w:trPr>
        <w:tc>
          <w:tcPr>
            <w:tcW w:w="368" w:type="pct"/>
            <w:tcBorders>
              <w:bottom w:val="single" w:sz="4" w:space="0" w:color="666666" w:themeColor="text1" w:themeTint="99"/>
            </w:tcBorders>
            <w:noWrap/>
            <w:vAlign w:val="center"/>
          </w:tcPr>
          <w:p w14:paraId="4D84BD5D" w14:textId="77777777" w:rsidR="007F49E4" w:rsidRDefault="007F49E4" w:rsidP="004701C1">
            <w:pPr>
              <w:rPr>
                <w:rFonts w:cs="Calibri"/>
                <w:color w:val="000000"/>
                <w:sz w:val="24"/>
                <w:szCs w:val="24"/>
                <w:lang w:eastAsia="en-AU"/>
              </w:rPr>
            </w:pPr>
            <w:r>
              <w:rPr>
                <w:rFonts w:cs="Calibri"/>
                <w:color w:val="000000"/>
                <w:sz w:val="24"/>
                <w:szCs w:val="24"/>
                <w:lang w:eastAsia="en-AU"/>
              </w:rPr>
              <w:t>87</w:t>
            </w:r>
          </w:p>
        </w:tc>
        <w:tc>
          <w:tcPr>
            <w:tcW w:w="4632" w:type="pct"/>
            <w:tcBorders>
              <w:bottom w:val="single" w:sz="4" w:space="0" w:color="666666" w:themeColor="text1" w:themeTint="99"/>
            </w:tcBorders>
            <w:noWrap/>
            <w:vAlign w:val="center"/>
          </w:tcPr>
          <w:p w14:paraId="78616C41" w14:textId="77777777" w:rsidR="007F49E4" w:rsidRDefault="007F49E4" w:rsidP="004701C1">
            <w:pPr>
              <w:rPr>
                <w:rFonts w:cs="Calibri"/>
                <w:color w:val="000000"/>
                <w:sz w:val="24"/>
                <w:szCs w:val="24"/>
                <w:lang w:eastAsia="en-AU"/>
              </w:rPr>
            </w:pPr>
            <w:r>
              <w:rPr>
                <w:rFonts w:cs="Calibri"/>
                <w:color w:val="000000"/>
                <w:sz w:val="24"/>
                <w:szCs w:val="24"/>
                <w:lang w:eastAsia="en-AU"/>
              </w:rPr>
              <w:t>Wilderness Australia</w:t>
            </w:r>
          </w:p>
        </w:tc>
      </w:tr>
      <w:tr w:rsidR="007F49E4" w:rsidRPr="00530E3C" w14:paraId="0A5BB0E9" w14:textId="77777777" w:rsidTr="004701C1">
        <w:trPr>
          <w:trHeight w:val="340"/>
        </w:trPr>
        <w:tc>
          <w:tcPr>
            <w:tcW w:w="368" w:type="pct"/>
            <w:tcBorders>
              <w:bottom w:val="single" w:sz="12" w:space="0" w:color="auto"/>
            </w:tcBorders>
            <w:noWrap/>
            <w:vAlign w:val="center"/>
          </w:tcPr>
          <w:p w14:paraId="0381FCC3" w14:textId="2FF2CA9B" w:rsidR="007F49E4" w:rsidRDefault="007F49E4" w:rsidP="004701C1">
            <w:pPr>
              <w:rPr>
                <w:rFonts w:cs="Calibri"/>
                <w:color w:val="000000"/>
                <w:sz w:val="24"/>
                <w:szCs w:val="24"/>
                <w:lang w:eastAsia="en-AU"/>
              </w:rPr>
            </w:pPr>
            <w:r>
              <w:rPr>
                <w:rFonts w:cs="Calibri"/>
                <w:color w:val="000000"/>
                <w:sz w:val="24"/>
                <w:szCs w:val="24"/>
                <w:lang w:eastAsia="en-AU"/>
              </w:rPr>
              <w:t>88</w:t>
            </w:r>
          </w:p>
        </w:tc>
        <w:tc>
          <w:tcPr>
            <w:tcW w:w="4632" w:type="pct"/>
            <w:tcBorders>
              <w:bottom w:val="single" w:sz="12" w:space="0" w:color="auto"/>
            </w:tcBorders>
            <w:noWrap/>
            <w:vAlign w:val="center"/>
          </w:tcPr>
          <w:p w14:paraId="2CCA7339" w14:textId="76125BFC" w:rsidR="007F49E4" w:rsidRDefault="007F49E4" w:rsidP="004701C1">
            <w:pPr>
              <w:rPr>
                <w:rFonts w:cs="Calibri"/>
                <w:color w:val="000000"/>
                <w:sz w:val="24"/>
                <w:szCs w:val="24"/>
                <w:lang w:eastAsia="en-AU"/>
              </w:rPr>
            </w:pPr>
            <w:r w:rsidRPr="006858B3">
              <w:rPr>
                <w:rFonts w:cs="Calibri"/>
                <w:color w:val="000000"/>
                <w:sz w:val="24"/>
                <w:szCs w:val="24"/>
              </w:rPr>
              <w:t xml:space="preserve">Environmental </w:t>
            </w:r>
            <w:proofErr w:type="spellStart"/>
            <w:r w:rsidRPr="006858B3">
              <w:rPr>
                <w:rFonts w:cs="Calibri"/>
                <w:color w:val="000000"/>
                <w:sz w:val="24"/>
                <w:szCs w:val="24"/>
              </w:rPr>
              <w:t>Defense</w:t>
            </w:r>
            <w:proofErr w:type="spellEnd"/>
            <w:r w:rsidRPr="006858B3">
              <w:rPr>
                <w:rFonts w:cs="Calibri"/>
                <w:color w:val="000000"/>
                <w:sz w:val="24"/>
                <w:szCs w:val="24"/>
              </w:rPr>
              <w:t xml:space="preserve"> Fund</w:t>
            </w:r>
          </w:p>
        </w:tc>
      </w:tr>
    </w:tbl>
    <w:p w14:paraId="719BD3EC" w14:textId="77777777" w:rsidR="005F4ECC" w:rsidRDefault="005F4ECC" w:rsidP="00452A24">
      <w:pPr>
        <w:pStyle w:val="AppxSubmissBold"/>
      </w:pPr>
    </w:p>
    <w:p w14:paraId="7906AE90" w14:textId="3EE44916" w:rsidR="004A4406" w:rsidRDefault="004A4406">
      <w:pPr>
        <w:rPr>
          <w:sz w:val="24"/>
        </w:rPr>
      </w:pPr>
      <w:r>
        <w:br w:type="page"/>
      </w:r>
    </w:p>
    <w:p w14:paraId="4CE03ABE" w14:textId="77777777" w:rsidR="00AB0B3A" w:rsidRDefault="00AB0B3A" w:rsidP="00AB0B3A">
      <w:pPr>
        <w:pStyle w:val="AppxTitle"/>
        <w:numPr>
          <w:ilvl w:val="0"/>
          <w:numId w:val="0"/>
        </w:numPr>
        <w:tabs>
          <w:tab w:val="left" w:pos="720"/>
        </w:tabs>
        <w:rPr>
          <w:lang w:val="en-US"/>
        </w:rPr>
      </w:pPr>
      <w:bookmarkStart w:id="116" w:name="_Toc194052259"/>
      <w:r>
        <w:rPr>
          <w:lang w:val="en-US"/>
        </w:rPr>
        <w:lastRenderedPageBreak/>
        <w:t>Appendix 2</w:t>
      </w:r>
      <w:r>
        <w:rPr>
          <w:lang w:val="en-US"/>
        </w:rPr>
        <w:tab/>
        <w:t>Witnesses at hearings</w:t>
      </w:r>
      <w:bookmarkEnd w:id="116"/>
    </w:p>
    <w:tbl>
      <w:tblPr>
        <w:tblStyle w:val="TableGrid"/>
        <w:tblW w:w="0" w:type="auto"/>
        <w:tblLook w:val="04A0" w:firstRow="1" w:lastRow="0" w:firstColumn="1" w:lastColumn="0" w:noHBand="0" w:noVBand="1"/>
      </w:tblPr>
      <w:tblGrid>
        <w:gridCol w:w="3210"/>
        <w:gridCol w:w="3208"/>
        <w:gridCol w:w="3221"/>
      </w:tblGrid>
      <w:tr w:rsidR="00AB0B3A" w14:paraId="0FB243A9" w14:textId="77777777" w:rsidTr="006C1BC2">
        <w:trPr>
          <w:tblHeader/>
        </w:trPr>
        <w:tc>
          <w:tcPr>
            <w:tcW w:w="3285" w:type="dxa"/>
            <w:tcBorders>
              <w:top w:val="single" w:sz="12" w:space="0" w:color="auto"/>
              <w:left w:val="nil"/>
              <w:bottom w:val="single" w:sz="12" w:space="0" w:color="auto"/>
              <w:right w:val="nil"/>
            </w:tcBorders>
            <w:hideMark/>
          </w:tcPr>
          <w:p w14:paraId="513A738C" w14:textId="77777777" w:rsidR="00AB0B3A" w:rsidRDefault="00AB0B3A">
            <w:pPr>
              <w:rPr>
                <w:b/>
                <w:bCs/>
                <w:sz w:val="24"/>
                <w:szCs w:val="24"/>
                <w:lang w:val="en-US"/>
              </w:rPr>
            </w:pPr>
            <w:r>
              <w:rPr>
                <w:b/>
                <w:bCs/>
                <w:sz w:val="24"/>
                <w:szCs w:val="24"/>
                <w:lang w:val="en-US"/>
              </w:rPr>
              <w:t>Date</w:t>
            </w:r>
          </w:p>
        </w:tc>
        <w:tc>
          <w:tcPr>
            <w:tcW w:w="3285" w:type="dxa"/>
            <w:tcBorders>
              <w:top w:val="single" w:sz="12" w:space="0" w:color="auto"/>
              <w:left w:val="nil"/>
              <w:bottom w:val="single" w:sz="12" w:space="0" w:color="auto"/>
              <w:right w:val="nil"/>
            </w:tcBorders>
            <w:hideMark/>
          </w:tcPr>
          <w:p w14:paraId="4A6FAA9C" w14:textId="77777777" w:rsidR="00AB0B3A" w:rsidRDefault="00AB0B3A">
            <w:pPr>
              <w:rPr>
                <w:b/>
                <w:bCs/>
                <w:sz w:val="24"/>
                <w:szCs w:val="24"/>
                <w:lang w:val="en-US"/>
              </w:rPr>
            </w:pPr>
            <w:r>
              <w:rPr>
                <w:b/>
                <w:bCs/>
                <w:sz w:val="24"/>
                <w:szCs w:val="24"/>
                <w:lang w:val="en-US"/>
              </w:rPr>
              <w:t>Name</w:t>
            </w:r>
          </w:p>
        </w:tc>
        <w:tc>
          <w:tcPr>
            <w:tcW w:w="3285" w:type="dxa"/>
            <w:tcBorders>
              <w:top w:val="single" w:sz="12" w:space="0" w:color="auto"/>
              <w:left w:val="nil"/>
              <w:bottom w:val="single" w:sz="12" w:space="0" w:color="auto"/>
              <w:right w:val="nil"/>
            </w:tcBorders>
            <w:hideMark/>
          </w:tcPr>
          <w:p w14:paraId="38F0F9F7" w14:textId="77777777" w:rsidR="00AB0B3A" w:rsidRDefault="00AB0B3A">
            <w:pPr>
              <w:rPr>
                <w:b/>
                <w:bCs/>
                <w:sz w:val="24"/>
                <w:szCs w:val="24"/>
                <w:lang w:val="en-US"/>
              </w:rPr>
            </w:pPr>
            <w:r>
              <w:rPr>
                <w:b/>
                <w:bCs/>
                <w:sz w:val="24"/>
                <w:szCs w:val="24"/>
                <w:lang w:val="en-US"/>
              </w:rPr>
              <w:t xml:space="preserve">Position and </w:t>
            </w:r>
            <w:proofErr w:type="spellStart"/>
            <w:r>
              <w:rPr>
                <w:b/>
                <w:bCs/>
                <w:sz w:val="24"/>
                <w:szCs w:val="24"/>
                <w:lang w:val="en-US"/>
              </w:rPr>
              <w:t>Organisation</w:t>
            </w:r>
            <w:proofErr w:type="spellEnd"/>
          </w:p>
        </w:tc>
      </w:tr>
      <w:tr w:rsidR="00AB0B3A" w14:paraId="25340764" w14:textId="77777777" w:rsidTr="006C1BC2">
        <w:tc>
          <w:tcPr>
            <w:tcW w:w="3285" w:type="dxa"/>
            <w:tcBorders>
              <w:top w:val="single" w:sz="12" w:space="0" w:color="auto"/>
              <w:left w:val="single" w:sz="4" w:space="0" w:color="FFFFFF" w:themeColor="background1"/>
              <w:bottom w:val="single" w:sz="12" w:space="0" w:color="auto"/>
              <w:right w:val="single" w:sz="4" w:space="0" w:color="FFFFFF" w:themeColor="background1"/>
            </w:tcBorders>
            <w:hideMark/>
          </w:tcPr>
          <w:p w14:paraId="44DA7672" w14:textId="77777777" w:rsidR="00AB0B3A" w:rsidRDefault="00AB0B3A">
            <w:pPr>
              <w:rPr>
                <w:b/>
                <w:bCs/>
                <w:sz w:val="24"/>
                <w:szCs w:val="24"/>
                <w:lang w:val="en-US"/>
              </w:rPr>
            </w:pPr>
            <w:r>
              <w:rPr>
                <w:b/>
                <w:bCs/>
                <w:sz w:val="24"/>
                <w:szCs w:val="24"/>
                <w:lang w:val="en-US"/>
              </w:rPr>
              <w:t>Friday, 14 March 2025, Parliament House Sydney, Jubilee Room</w:t>
            </w:r>
          </w:p>
        </w:tc>
        <w:tc>
          <w:tcPr>
            <w:tcW w:w="3285" w:type="dxa"/>
            <w:tcBorders>
              <w:top w:val="single" w:sz="12" w:space="0" w:color="auto"/>
              <w:left w:val="single" w:sz="4" w:space="0" w:color="FFFFFF" w:themeColor="background1"/>
              <w:bottom w:val="single" w:sz="12" w:space="0" w:color="auto"/>
              <w:right w:val="single" w:sz="4" w:space="0" w:color="FFFFFF" w:themeColor="background1"/>
            </w:tcBorders>
          </w:tcPr>
          <w:p w14:paraId="0BFEDB45" w14:textId="77777777" w:rsidR="00AB0B3A" w:rsidRDefault="00AB0B3A">
            <w:pPr>
              <w:rPr>
                <w:sz w:val="24"/>
                <w:szCs w:val="24"/>
              </w:rPr>
            </w:pPr>
            <w:r>
              <w:rPr>
                <w:sz w:val="24"/>
                <w:szCs w:val="24"/>
              </w:rPr>
              <w:t>Mr Howard Witt</w:t>
            </w:r>
          </w:p>
          <w:p w14:paraId="4B2E901A" w14:textId="77777777" w:rsidR="00AB0B3A" w:rsidRDefault="00AB0B3A">
            <w:pPr>
              <w:rPr>
                <w:sz w:val="24"/>
                <w:szCs w:val="24"/>
                <w:lang w:val="en-US"/>
              </w:rPr>
            </w:pPr>
          </w:p>
          <w:p w14:paraId="545B0B76" w14:textId="77777777" w:rsidR="00AB0B3A" w:rsidRDefault="00AB0B3A">
            <w:pPr>
              <w:rPr>
                <w:sz w:val="24"/>
                <w:szCs w:val="24"/>
                <w:lang w:val="en-US"/>
              </w:rPr>
            </w:pPr>
          </w:p>
          <w:p w14:paraId="43D39BC9" w14:textId="77777777" w:rsidR="00AB0B3A" w:rsidRDefault="00AB0B3A">
            <w:pPr>
              <w:rPr>
                <w:sz w:val="24"/>
                <w:szCs w:val="24"/>
              </w:rPr>
            </w:pPr>
            <w:r>
              <w:rPr>
                <w:sz w:val="24"/>
                <w:szCs w:val="24"/>
              </w:rPr>
              <w:t>Mr Richard Weller</w:t>
            </w:r>
          </w:p>
          <w:p w14:paraId="280C59C5" w14:textId="77777777" w:rsidR="00AB0B3A" w:rsidRDefault="00AB0B3A">
            <w:pPr>
              <w:rPr>
                <w:sz w:val="24"/>
                <w:szCs w:val="24"/>
              </w:rPr>
            </w:pPr>
          </w:p>
          <w:p w14:paraId="7CDC95AE" w14:textId="77777777" w:rsidR="00AB0B3A" w:rsidRDefault="00AB0B3A">
            <w:pPr>
              <w:rPr>
                <w:sz w:val="24"/>
                <w:szCs w:val="24"/>
              </w:rPr>
            </w:pPr>
          </w:p>
          <w:p w14:paraId="3567407A" w14:textId="77777777" w:rsidR="00AB0B3A" w:rsidRDefault="00AB0B3A">
            <w:pPr>
              <w:rPr>
                <w:sz w:val="24"/>
                <w:szCs w:val="24"/>
              </w:rPr>
            </w:pPr>
            <w:r>
              <w:rPr>
                <w:sz w:val="24"/>
                <w:szCs w:val="24"/>
              </w:rPr>
              <w:t>Ms Virginia Young</w:t>
            </w:r>
          </w:p>
          <w:p w14:paraId="5521635B" w14:textId="77777777" w:rsidR="00AB0B3A" w:rsidRDefault="00AB0B3A">
            <w:pPr>
              <w:rPr>
                <w:sz w:val="24"/>
                <w:szCs w:val="24"/>
              </w:rPr>
            </w:pPr>
          </w:p>
          <w:p w14:paraId="7CED8E7E" w14:textId="77777777" w:rsidR="00AB0B3A" w:rsidRDefault="00AB0B3A">
            <w:pPr>
              <w:pStyle w:val="NoSpacing"/>
              <w:spacing w:before="60" w:after="60"/>
              <w:rPr>
                <w:sz w:val="24"/>
                <w:szCs w:val="24"/>
              </w:rPr>
            </w:pPr>
            <w:r>
              <w:rPr>
                <w:sz w:val="24"/>
                <w:szCs w:val="24"/>
              </w:rPr>
              <w:t>Mr Nic Clyde</w:t>
            </w:r>
          </w:p>
          <w:p w14:paraId="40808251" w14:textId="77777777" w:rsidR="00AB0B3A" w:rsidRDefault="00AB0B3A">
            <w:pPr>
              <w:rPr>
                <w:sz w:val="24"/>
                <w:szCs w:val="24"/>
                <w:lang w:val="en-US"/>
              </w:rPr>
            </w:pPr>
          </w:p>
          <w:p w14:paraId="1D1431B9" w14:textId="77777777" w:rsidR="00AB0B3A" w:rsidRDefault="00AB0B3A">
            <w:pPr>
              <w:rPr>
                <w:sz w:val="24"/>
                <w:szCs w:val="24"/>
                <w:lang w:val="en-US"/>
              </w:rPr>
            </w:pPr>
          </w:p>
          <w:p w14:paraId="2AC446F2" w14:textId="77777777" w:rsidR="00AB0B3A" w:rsidRDefault="00AB0B3A">
            <w:pPr>
              <w:rPr>
                <w:sz w:val="24"/>
                <w:szCs w:val="24"/>
              </w:rPr>
            </w:pPr>
            <w:r>
              <w:rPr>
                <w:sz w:val="24"/>
                <w:szCs w:val="24"/>
              </w:rPr>
              <w:t>Dr Georgina Woods</w:t>
            </w:r>
          </w:p>
          <w:p w14:paraId="46E2895B" w14:textId="77777777" w:rsidR="00AB0B3A" w:rsidRDefault="00AB0B3A">
            <w:pPr>
              <w:rPr>
                <w:sz w:val="24"/>
                <w:szCs w:val="24"/>
              </w:rPr>
            </w:pPr>
          </w:p>
          <w:p w14:paraId="7BBC40EC" w14:textId="77777777" w:rsidR="00AB0B3A" w:rsidRDefault="00AB0B3A">
            <w:pPr>
              <w:rPr>
                <w:sz w:val="24"/>
                <w:szCs w:val="24"/>
              </w:rPr>
            </w:pPr>
          </w:p>
          <w:p w14:paraId="106587EE" w14:textId="77777777" w:rsidR="006D4B05" w:rsidRDefault="006D4B05">
            <w:pPr>
              <w:rPr>
                <w:sz w:val="24"/>
                <w:szCs w:val="24"/>
              </w:rPr>
            </w:pPr>
          </w:p>
          <w:p w14:paraId="001387E9" w14:textId="6E962064" w:rsidR="00AB0B3A" w:rsidRDefault="00AB0B3A">
            <w:pPr>
              <w:rPr>
                <w:sz w:val="24"/>
                <w:szCs w:val="24"/>
              </w:rPr>
            </w:pPr>
            <w:r>
              <w:rPr>
                <w:sz w:val="24"/>
                <w:szCs w:val="24"/>
              </w:rPr>
              <w:t>Mr Roderick Campbell</w:t>
            </w:r>
          </w:p>
          <w:p w14:paraId="0851B7F6" w14:textId="77777777" w:rsidR="00AB0B3A" w:rsidRDefault="00AB0B3A">
            <w:pPr>
              <w:rPr>
                <w:sz w:val="24"/>
                <w:szCs w:val="24"/>
              </w:rPr>
            </w:pPr>
          </w:p>
          <w:p w14:paraId="420B0254" w14:textId="77777777" w:rsidR="00AB0B3A" w:rsidRDefault="00AB0B3A">
            <w:pPr>
              <w:rPr>
                <w:sz w:val="24"/>
                <w:szCs w:val="24"/>
              </w:rPr>
            </w:pPr>
          </w:p>
          <w:p w14:paraId="3B652D39" w14:textId="77777777" w:rsidR="00AB0B3A" w:rsidRDefault="00AB0B3A">
            <w:pPr>
              <w:rPr>
                <w:sz w:val="24"/>
                <w:szCs w:val="24"/>
              </w:rPr>
            </w:pPr>
            <w:r>
              <w:rPr>
                <w:sz w:val="24"/>
                <w:szCs w:val="24"/>
              </w:rPr>
              <w:t>Ms Kylie Turner</w:t>
            </w:r>
          </w:p>
          <w:p w14:paraId="3384A9C4" w14:textId="77777777" w:rsidR="00AB0B3A" w:rsidRDefault="00AB0B3A">
            <w:pPr>
              <w:rPr>
                <w:sz w:val="24"/>
                <w:szCs w:val="24"/>
              </w:rPr>
            </w:pPr>
          </w:p>
          <w:p w14:paraId="037197AD" w14:textId="77777777" w:rsidR="00AB0B3A" w:rsidRDefault="00AB0B3A">
            <w:pPr>
              <w:rPr>
                <w:sz w:val="24"/>
                <w:szCs w:val="24"/>
              </w:rPr>
            </w:pPr>
            <w:r>
              <w:rPr>
                <w:sz w:val="24"/>
                <w:szCs w:val="24"/>
              </w:rPr>
              <w:t xml:space="preserve">Mr Gregory </w:t>
            </w:r>
            <w:proofErr w:type="spellStart"/>
            <w:r>
              <w:rPr>
                <w:sz w:val="24"/>
                <w:szCs w:val="24"/>
              </w:rPr>
              <w:t>Bourne</w:t>
            </w:r>
            <w:proofErr w:type="spellEnd"/>
          </w:p>
          <w:p w14:paraId="37D488A9" w14:textId="77777777" w:rsidR="00AB0B3A" w:rsidRDefault="00AB0B3A">
            <w:pPr>
              <w:rPr>
                <w:sz w:val="24"/>
                <w:szCs w:val="24"/>
              </w:rPr>
            </w:pPr>
          </w:p>
          <w:p w14:paraId="6F8B99CD" w14:textId="77777777" w:rsidR="00AB0B3A" w:rsidRDefault="00AB0B3A">
            <w:pPr>
              <w:rPr>
                <w:sz w:val="24"/>
                <w:szCs w:val="24"/>
              </w:rPr>
            </w:pPr>
            <w:r>
              <w:rPr>
                <w:sz w:val="24"/>
                <w:szCs w:val="24"/>
              </w:rPr>
              <w:t>Dr. Hermione Parsons</w:t>
            </w:r>
          </w:p>
          <w:p w14:paraId="59984894" w14:textId="77777777" w:rsidR="00AB0B3A" w:rsidRDefault="00AB0B3A">
            <w:pPr>
              <w:rPr>
                <w:sz w:val="24"/>
                <w:szCs w:val="24"/>
              </w:rPr>
            </w:pPr>
          </w:p>
          <w:p w14:paraId="42254064" w14:textId="77777777" w:rsidR="00AB0B3A" w:rsidRDefault="00AB0B3A">
            <w:pPr>
              <w:rPr>
                <w:sz w:val="24"/>
                <w:szCs w:val="24"/>
              </w:rPr>
            </w:pPr>
          </w:p>
          <w:p w14:paraId="2A240203" w14:textId="77777777" w:rsidR="00AB0B3A" w:rsidRDefault="00AB0B3A">
            <w:pPr>
              <w:rPr>
                <w:sz w:val="24"/>
                <w:szCs w:val="24"/>
              </w:rPr>
            </w:pPr>
          </w:p>
          <w:p w14:paraId="426E0415" w14:textId="77777777" w:rsidR="00AB0B3A" w:rsidRDefault="00AB0B3A">
            <w:pPr>
              <w:rPr>
                <w:sz w:val="24"/>
                <w:szCs w:val="24"/>
              </w:rPr>
            </w:pPr>
            <w:r>
              <w:rPr>
                <w:sz w:val="24"/>
                <w:szCs w:val="24"/>
              </w:rPr>
              <w:t>Mr David Frith</w:t>
            </w:r>
          </w:p>
          <w:p w14:paraId="119F6F0D" w14:textId="77777777" w:rsidR="00AB0B3A" w:rsidRDefault="00AB0B3A">
            <w:pPr>
              <w:rPr>
                <w:sz w:val="24"/>
                <w:szCs w:val="24"/>
              </w:rPr>
            </w:pPr>
          </w:p>
          <w:p w14:paraId="2C73FBE6" w14:textId="77777777" w:rsidR="00AB0B3A" w:rsidRDefault="00AB0B3A">
            <w:pPr>
              <w:rPr>
                <w:sz w:val="24"/>
                <w:szCs w:val="24"/>
              </w:rPr>
            </w:pPr>
          </w:p>
          <w:p w14:paraId="7893668A" w14:textId="77777777" w:rsidR="00AB0B3A" w:rsidRDefault="00AB0B3A">
            <w:pPr>
              <w:rPr>
                <w:sz w:val="24"/>
                <w:szCs w:val="24"/>
              </w:rPr>
            </w:pPr>
            <w:r>
              <w:rPr>
                <w:sz w:val="24"/>
                <w:szCs w:val="24"/>
              </w:rPr>
              <w:t xml:space="preserve">Ms Francesca </w:t>
            </w:r>
            <w:proofErr w:type="spellStart"/>
            <w:r>
              <w:rPr>
                <w:sz w:val="24"/>
                <w:szCs w:val="24"/>
              </w:rPr>
              <w:t>Muskovic</w:t>
            </w:r>
            <w:proofErr w:type="spellEnd"/>
          </w:p>
          <w:p w14:paraId="49D1C0FB" w14:textId="77777777" w:rsidR="00AB0B3A" w:rsidRDefault="00AB0B3A">
            <w:pPr>
              <w:rPr>
                <w:sz w:val="24"/>
                <w:szCs w:val="24"/>
              </w:rPr>
            </w:pPr>
          </w:p>
          <w:p w14:paraId="0EE538F9" w14:textId="77777777" w:rsidR="00AB0B3A" w:rsidRDefault="00AB0B3A">
            <w:pPr>
              <w:rPr>
                <w:sz w:val="24"/>
                <w:szCs w:val="24"/>
              </w:rPr>
            </w:pPr>
          </w:p>
          <w:p w14:paraId="0AC76F7E" w14:textId="77777777" w:rsidR="00AB0B3A" w:rsidRDefault="00AB0B3A">
            <w:pPr>
              <w:rPr>
                <w:sz w:val="24"/>
                <w:szCs w:val="24"/>
              </w:rPr>
            </w:pPr>
            <w:r>
              <w:rPr>
                <w:sz w:val="24"/>
                <w:szCs w:val="24"/>
              </w:rPr>
              <w:t>Ms Alison Scotland</w:t>
            </w:r>
          </w:p>
          <w:p w14:paraId="200CEFBF" w14:textId="77777777" w:rsidR="00AB0B3A" w:rsidRDefault="00AB0B3A">
            <w:pPr>
              <w:rPr>
                <w:sz w:val="24"/>
                <w:szCs w:val="24"/>
              </w:rPr>
            </w:pPr>
          </w:p>
          <w:p w14:paraId="2B5623FE" w14:textId="77777777" w:rsidR="00AB0B3A" w:rsidRDefault="00AB0B3A">
            <w:pPr>
              <w:rPr>
                <w:sz w:val="24"/>
                <w:szCs w:val="24"/>
              </w:rPr>
            </w:pPr>
          </w:p>
          <w:p w14:paraId="22AF8431" w14:textId="77777777" w:rsidR="00AB0B3A" w:rsidRDefault="00AB0B3A">
            <w:pPr>
              <w:rPr>
                <w:sz w:val="24"/>
                <w:szCs w:val="24"/>
              </w:rPr>
            </w:pPr>
          </w:p>
          <w:p w14:paraId="426F1921" w14:textId="77777777" w:rsidR="00AB0B3A" w:rsidRDefault="00AB0B3A">
            <w:pPr>
              <w:rPr>
                <w:sz w:val="24"/>
                <w:szCs w:val="24"/>
              </w:rPr>
            </w:pPr>
            <w:r>
              <w:rPr>
                <w:sz w:val="24"/>
                <w:szCs w:val="24"/>
              </w:rPr>
              <w:t>Mr Tennant Reed</w:t>
            </w:r>
          </w:p>
          <w:p w14:paraId="3B23CBD9" w14:textId="77777777" w:rsidR="00AB0B3A" w:rsidRDefault="00AB0B3A">
            <w:pPr>
              <w:rPr>
                <w:sz w:val="24"/>
                <w:szCs w:val="24"/>
              </w:rPr>
            </w:pPr>
          </w:p>
          <w:p w14:paraId="67501AE6" w14:textId="77777777" w:rsidR="00AB0B3A" w:rsidRDefault="00AB0B3A">
            <w:pPr>
              <w:rPr>
                <w:sz w:val="24"/>
                <w:szCs w:val="24"/>
              </w:rPr>
            </w:pPr>
            <w:r>
              <w:rPr>
                <w:sz w:val="24"/>
                <w:szCs w:val="24"/>
              </w:rPr>
              <w:t>Mr Raymond Kelly</w:t>
            </w:r>
          </w:p>
          <w:p w14:paraId="0724C5F2" w14:textId="77777777" w:rsidR="00AB0B3A" w:rsidRDefault="00AB0B3A">
            <w:pPr>
              <w:rPr>
                <w:sz w:val="24"/>
                <w:szCs w:val="24"/>
              </w:rPr>
            </w:pPr>
          </w:p>
          <w:p w14:paraId="28CA86F8" w14:textId="77777777" w:rsidR="00AB0B3A" w:rsidRDefault="00AB0B3A">
            <w:pPr>
              <w:rPr>
                <w:sz w:val="24"/>
                <w:szCs w:val="24"/>
              </w:rPr>
            </w:pPr>
          </w:p>
          <w:p w14:paraId="7CA89874" w14:textId="77777777" w:rsidR="00AB0B3A" w:rsidRDefault="00AB0B3A">
            <w:pPr>
              <w:rPr>
                <w:sz w:val="24"/>
                <w:szCs w:val="24"/>
              </w:rPr>
            </w:pPr>
          </w:p>
          <w:p w14:paraId="6AED9B77" w14:textId="77777777" w:rsidR="00AB0B3A" w:rsidRDefault="00AB0B3A">
            <w:pPr>
              <w:rPr>
                <w:sz w:val="24"/>
                <w:szCs w:val="24"/>
              </w:rPr>
            </w:pPr>
            <w:r>
              <w:rPr>
                <w:sz w:val="24"/>
                <w:szCs w:val="24"/>
              </w:rPr>
              <w:t xml:space="preserve">Mr Stephen </w:t>
            </w:r>
            <w:proofErr w:type="spellStart"/>
            <w:r>
              <w:rPr>
                <w:sz w:val="24"/>
                <w:szCs w:val="24"/>
              </w:rPr>
              <w:t>Hynd</w:t>
            </w:r>
            <w:proofErr w:type="spellEnd"/>
          </w:p>
          <w:p w14:paraId="387211DA" w14:textId="77777777" w:rsidR="00AB0B3A" w:rsidRDefault="00AB0B3A">
            <w:pPr>
              <w:rPr>
                <w:sz w:val="24"/>
                <w:szCs w:val="24"/>
              </w:rPr>
            </w:pPr>
          </w:p>
          <w:p w14:paraId="71F66602" w14:textId="77777777" w:rsidR="00AB0B3A" w:rsidRDefault="00AB0B3A" w:rsidP="00F222F0">
            <w:pPr>
              <w:pStyle w:val="NoSpacing"/>
              <w:rPr>
                <w:sz w:val="24"/>
                <w:szCs w:val="24"/>
              </w:rPr>
            </w:pPr>
            <w:r>
              <w:rPr>
                <w:sz w:val="24"/>
                <w:szCs w:val="24"/>
              </w:rPr>
              <w:lastRenderedPageBreak/>
              <w:t xml:space="preserve">Dr Jason </w:t>
            </w:r>
            <w:proofErr w:type="spellStart"/>
            <w:r>
              <w:rPr>
                <w:sz w:val="24"/>
                <w:szCs w:val="24"/>
              </w:rPr>
              <w:t>Crean</w:t>
            </w:r>
            <w:proofErr w:type="spellEnd"/>
          </w:p>
          <w:p w14:paraId="14B46160" w14:textId="77777777" w:rsidR="00AB0B3A" w:rsidRDefault="00AB0B3A">
            <w:pPr>
              <w:rPr>
                <w:sz w:val="24"/>
                <w:szCs w:val="24"/>
                <w:lang w:val="en-US"/>
              </w:rPr>
            </w:pPr>
          </w:p>
          <w:p w14:paraId="67086315" w14:textId="77777777" w:rsidR="00AB0B3A" w:rsidRDefault="00AB0B3A">
            <w:pPr>
              <w:rPr>
                <w:sz w:val="24"/>
                <w:szCs w:val="24"/>
                <w:lang w:val="en-US"/>
              </w:rPr>
            </w:pPr>
          </w:p>
          <w:p w14:paraId="47CE1A35" w14:textId="77777777" w:rsidR="00AB0B3A" w:rsidRDefault="00AB0B3A">
            <w:pPr>
              <w:rPr>
                <w:sz w:val="24"/>
                <w:szCs w:val="24"/>
                <w:lang w:val="en-US"/>
              </w:rPr>
            </w:pPr>
          </w:p>
          <w:p w14:paraId="48D04D94" w14:textId="77777777" w:rsidR="00AB0B3A" w:rsidRDefault="00AB0B3A">
            <w:pPr>
              <w:rPr>
                <w:sz w:val="24"/>
                <w:szCs w:val="24"/>
                <w:lang w:val="en-US"/>
              </w:rPr>
            </w:pPr>
          </w:p>
          <w:p w14:paraId="7A3CF6F0" w14:textId="77777777" w:rsidR="00AB0B3A" w:rsidRDefault="00AB0B3A">
            <w:pPr>
              <w:rPr>
                <w:sz w:val="24"/>
                <w:szCs w:val="24"/>
                <w:lang w:val="en-US"/>
              </w:rPr>
            </w:pPr>
          </w:p>
          <w:p w14:paraId="7445B432" w14:textId="77777777" w:rsidR="00241DA7" w:rsidRDefault="00241DA7">
            <w:pPr>
              <w:rPr>
                <w:sz w:val="24"/>
                <w:szCs w:val="24"/>
              </w:rPr>
            </w:pPr>
          </w:p>
          <w:p w14:paraId="425619C1" w14:textId="57690DDD" w:rsidR="00AB0B3A" w:rsidRDefault="00AB0B3A">
            <w:pPr>
              <w:rPr>
                <w:sz w:val="24"/>
                <w:szCs w:val="24"/>
              </w:rPr>
            </w:pPr>
            <w:r>
              <w:rPr>
                <w:sz w:val="24"/>
                <w:szCs w:val="24"/>
              </w:rPr>
              <w:t>Dr Annette Cowie</w:t>
            </w:r>
          </w:p>
          <w:p w14:paraId="7C26CC57" w14:textId="77777777" w:rsidR="00AB0B3A" w:rsidRDefault="00AB0B3A">
            <w:pPr>
              <w:rPr>
                <w:sz w:val="24"/>
                <w:szCs w:val="24"/>
              </w:rPr>
            </w:pPr>
          </w:p>
          <w:p w14:paraId="777A0D87" w14:textId="77777777" w:rsidR="00AB0B3A" w:rsidRDefault="00AB0B3A">
            <w:pPr>
              <w:rPr>
                <w:sz w:val="24"/>
                <w:szCs w:val="24"/>
              </w:rPr>
            </w:pPr>
          </w:p>
          <w:p w14:paraId="2065F1DA" w14:textId="77777777" w:rsidR="00AB0B3A" w:rsidRDefault="00AB0B3A">
            <w:pPr>
              <w:rPr>
                <w:sz w:val="24"/>
                <w:szCs w:val="24"/>
              </w:rPr>
            </w:pPr>
          </w:p>
          <w:p w14:paraId="01FBEAC7" w14:textId="77777777" w:rsidR="00AB0B3A" w:rsidRDefault="00AB0B3A">
            <w:pPr>
              <w:rPr>
                <w:sz w:val="24"/>
                <w:szCs w:val="24"/>
              </w:rPr>
            </w:pPr>
          </w:p>
          <w:p w14:paraId="386A78B5" w14:textId="77777777" w:rsidR="00AB0B3A" w:rsidRDefault="00AB0B3A">
            <w:pPr>
              <w:rPr>
                <w:sz w:val="24"/>
                <w:szCs w:val="24"/>
              </w:rPr>
            </w:pPr>
            <w:r>
              <w:rPr>
                <w:sz w:val="24"/>
                <w:szCs w:val="24"/>
              </w:rPr>
              <w:t xml:space="preserve">Ms Katerina </w:t>
            </w:r>
            <w:proofErr w:type="spellStart"/>
            <w:r>
              <w:rPr>
                <w:sz w:val="24"/>
                <w:szCs w:val="24"/>
              </w:rPr>
              <w:t>Kimmorley</w:t>
            </w:r>
            <w:proofErr w:type="spellEnd"/>
          </w:p>
          <w:p w14:paraId="67A59C3C" w14:textId="77777777" w:rsidR="00AB0B3A" w:rsidRDefault="00AB0B3A">
            <w:pPr>
              <w:rPr>
                <w:sz w:val="24"/>
                <w:szCs w:val="24"/>
              </w:rPr>
            </w:pPr>
          </w:p>
          <w:p w14:paraId="57678A87" w14:textId="77777777" w:rsidR="00AB0B3A" w:rsidRDefault="00AB0B3A">
            <w:pPr>
              <w:rPr>
                <w:sz w:val="24"/>
                <w:szCs w:val="24"/>
              </w:rPr>
            </w:pPr>
          </w:p>
          <w:p w14:paraId="3A3A49FD" w14:textId="77777777" w:rsidR="00AB0B3A" w:rsidRDefault="00AB0B3A">
            <w:pPr>
              <w:rPr>
                <w:sz w:val="24"/>
                <w:szCs w:val="24"/>
              </w:rPr>
            </w:pPr>
            <w:r>
              <w:rPr>
                <w:sz w:val="24"/>
                <w:szCs w:val="24"/>
              </w:rPr>
              <w:t>Ms Meg McDonald</w:t>
            </w:r>
          </w:p>
          <w:p w14:paraId="69354CCB" w14:textId="77777777" w:rsidR="00AB0B3A" w:rsidRDefault="00AB0B3A">
            <w:pPr>
              <w:rPr>
                <w:sz w:val="24"/>
                <w:szCs w:val="24"/>
              </w:rPr>
            </w:pPr>
          </w:p>
          <w:p w14:paraId="3CCFF870" w14:textId="77777777" w:rsidR="00AB0B3A" w:rsidRDefault="00AB0B3A">
            <w:pPr>
              <w:rPr>
                <w:sz w:val="24"/>
                <w:szCs w:val="24"/>
              </w:rPr>
            </w:pPr>
          </w:p>
          <w:p w14:paraId="117AC1B9" w14:textId="77777777" w:rsidR="00AB0B3A" w:rsidRDefault="00AB0B3A">
            <w:pPr>
              <w:rPr>
                <w:sz w:val="24"/>
                <w:szCs w:val="24"/>
              </w:rPr>
            </w:pPr>
            <w:r>
              <w:rPr>
                <w:sz w:val="24"/>
                <w:szCs w:val="24"/>
              </w:rPr>
              <w:t>Professor Andrew Pitman AO</w:t>
            </w:r>
          </w:p>
          <w:p w14:paraId="2D66924D" w14:textId="77777777" w:rsidR="00AB0B3A" w:rsidRDefault="00AB0B3A">
            <w:pPr>
              <w:rPr>
                <w:sz w:val="24"/>
                <w:szCs w:val="24"/>
              </w:rPr>
            </w:pPr>
          </w:p>
          <w:p w14:paraId="5307615F" w14:textId="77777777" w:rsidR="00AB0B3A" w:rsidRDefault="00AB0B3A">
            <w:pPr>
              <w:rPr>
                <w:sz w:val="24"/>
                <w:szCs w:val="24"/>
              </w:rPr>
            </w:pPr>
          </w:p>
          <w:p w14:paraId="5D2F6BB3" w14:textId="77777777" w:rsidR="00AB0B3A" w:rsidRDefault="00AB0B3A">
            <w:pPr>
              <w:rPr>
                <w:sz w:val="24"/>
                <w:szCs w:val="24"/>
                <w:lang w:val="en-US"/>
              </w:rPr>
            </w:pPr>
            <w:r>
              <w:rPr>
                <w:sz w:val="24"/>
                <w:szCs w:val="24"/>
              </w:rPr>
              <w:t xml:space="preserve">Dr Will </w:t>
            </w:r>
            <w:proofErr w:type="spellStart"/>
            <w:r>
              <w:rPr>
                <w:sz w:val="24"/>
                <w:szCs w:val="24"/>
              </w:rPr>
              <w:t>Rayward</w:t>
            </w:r>
            <w:proofErr w:type="spellEnd"/>
            <w:r>
              <w:rPr>
                <w:sz w:val="24"/>
                <w:szCs w:val="24"/>
              </w:rPr>
              <w:t>-Smith</w:t>
            </w:r>
          </w:p>
        </w:tc>
        <w:tc>
          <w:tcPr>
            <w:tcW w:w="3285" w:type="dxa"/>
            <w:tcBorders>
              <w:top w:val="single" w:sz="12" w:space="0" w:color="auto"/>
              <w:left w:val="single" w:sz="4" w:space="0" w:color="FFFFFF" w:themeColor="background1"/>
              <w:bottom w:val="single" w:sz="12" w:space="0" w:color="auto"/>
              <w:right w:val="single" w:sz="4" w:space="0" w:color="FFFFFF" w:themeColor="background1"/>
            </w:tcBorders>
          </w:tcPr>
          <w:p w14:paraId="7F43AB55" w14:textId="77777777" w:rsidR="00AB0B3A" w:rsidRDefault="00AB0B3A">
            <w:pPr>
              <w:rPr>
                <w:sz w:val="24"/>
                <w:szCs w:val="24"/>
              </w:rPr>
            </w:pPr>
            <w:r>
              <w:rPr>
                <w:sz w:val="24"/>
                <w:szCs w:val="24"/>
              </w:rPr>
              <w:lastRenderedPageBreak/>
              <w:t>Director, Citizens' Climate Lobby Australia</w:t>
            </w:r>
          </w:p>
          <w:p w14:paraId="6210DF00" w14:textId="77777777" w:rsidR="00AB0B3A" w:rsidRDefault="00AB0B3A">
            <w:pPr>
              <w:rPr>
                <w:sz w:val="24"/>
                <w:szCs w:val="24"/>
                <w:lang w:val="en-US"/>
              </w:rPr>
            </w:pPr>
          </w:p>
          <w:p w14:paraId="3C47FE68" w14:textId="77777777" w:rsidR="00AB0B3A" w:rsidRDefault="00AB0B3A">
            <w:pPr>
              <w:rPr>
                <w:sz w:val="24"/>
                <w:szCs w:val="24"/>
              </w:rPr>
            </w:pPr>
            <w:r>
              <w:rPr>
                <w:sz w:val="24"/>
                <w:szCs w:val="24"/>
              </w:rPr>
              <w:t>Member, Citizens' Climate Lobby Australia</w:t>
            </w:r>
          </w:p>
          <w:p w14:paraId="30F7BBD7" w14:textId="77777777" w:rsidR="00AB0B3A" w:rsidRDefault="00AB0B3A">
            <w:pPr>
              <w:rPr>
                <w:sz w:val="24"/>
                <w:szCs w:val="24"/>
                <w:lang w:val="en-US"/>
              </w:rPr>
            </w:pPr>
          </w:p>
          <w:p w14:paraId="2AEDFBB3" w14:textId="77777777" w:rsidR="00AB0B3A" w:rsidRDefault="00AB0B3A">
            <w:pPr>
              <w:rPr>
                <w:sz w:val="24"/>
                <w:szCs w:val="24"/>
              </w:rPr>
            </w:pPr>
            <w:r>
              <w:rPr>
                <w:sz w:val="24"/>
                <w:szCs w:val="24"/>
              </w:rPr>
              <w:t>Director, Wilderness Australia</w:t>
            </w:r>
          </w:p>
          <w:p w14:paraId="06DDDEA4" w14:textId="77777777" w:rsidR="00AB0B3A" w:rsidRDefault="00AB0B3A">
            <w:pPr>
              <w:rPr>
                <w:sz w:val="24"/>
                <w:szCs w:val="24"/>
              </w:rPr>
            </w:pPr>
          </w:p>
          <w:p w14:paraId="08B3008A" w14:textId="3AE22402" w:rsidR="00AB0B3A" w:rsidRDefault="00AB0B3A">
            <w:pPr>
              <w:pStyle w:val="NoSpacing"/>
              <w:spacing w:before="60" w:after="60"/>
              <w:rPr>
                <w:sz w:val="24"/>
                <w:szCs w:val="24"/>
              </w:rPr>
            </w:pPr>
            <w:r>
              <w:rPr>
                <w:sz w:val="24"/>
                <w:szCs w:val="24"/>
              </w:rPr>
              <w:t xml:space="preserve">NSW Coordinator, Lock the Gate </w:t>
            </w:r>
            <w:r w:rsidR="00EF01EA">
              <w:rPr>
                <w:sz w:val="24"/>
                <w:szCs w:val="24"/>
              </w:rPr>
              <w:t>Alliance</w:t>
            </w:r>
          </w:p>
          <w:p w14:paraId="56286222" w14:textId="77777777" w:rsidR="00AB0B3A" w:rsidRDefault="00AB0B3A">
            <w:pPr>
              <w:rPr>
                <w:sz w:val="24"/>
                <w:szCs w:val="24"/>
                <w:lang w:val="en-US"/>
              </w:rPr>
            </w:pPr>
          </w:p>
          <w:p w14:paraId="66498E70" w14:textId="33E4E0F0" w:rsidR="00AB0B3A" w:rsidRDefault="00AB0B3A">
            <w:pPr>
              <w:rPr>
                <w:sz w:val="24"/>
                <w:szCs w:val="24"/>
              </w:rPr>
            </w:pPr>
            <w:r>
              <w:rPr>
                <w:sz w:val="24"/>
                <w:szCs w:val="24"/>
              </w:rPr>
              <w:t>Head of Research and Investigations, Lock the Gate</w:t>
            </w:r>
            <w:r w:rsidR="006D4B05">
              <w:rPr>
                <w:sz w:val="24"/>
                <w:szCs w:val="24"/>
              </w:rPr>
              <w:t xml:space="preserve"> Alliance</w:t>
            </w:r>
          </w:p>
          <w:p w14:paraId="2EEA4198" w14:textId="77777777" w:rsidR="00AB0B3A" w:rsidRDefault="00AB0B3A">
            <w:pPr>
              <w:rPr>
                <w:sz w:val="24"/>
                <w:szCs w:val="24"/>
                <w:lang w:val="en-US"/>
              </w:rPr>
            </w:pPr>
          </w:p>
          <w:p w14:paraId="6BE33510" w14:textId="77777777" w:rsidR="00AB0B3A" w:rsidRDefault="00AB0B3A">
            <w:pPr>
              <w:rPr>
                <w:sz w:val="24"/>
                <w:szCs w:val="24"/>
              </w:rPr>
            </w:pPr>
            <w:r>
              <w:rPr>
                <w:sz w:val="24"/>
                <w:szCs w:val="24"/>
              </w:rPr>
              <w:t>Research Director, The Australia Institute</w:t>
            </w:r>
          </w:p>
          <w:p w14:paraId="0677A6A5" w14:textId="77777777" w:rsidR="00AB0B3A" w:rsidRDefault="00AB0B3A">
            <w:pPr>
              <w:rPr>
                <w:sz w:val="24"/>
                <w:szCs w:val="24"/>
                <w:lang w:val="en-US"/>
              </w:rPr>
            </w:pPr>
          </w:p>
          <w:p w14:paraId="3740B6EC" w14:textId="45A4A83A" w:rsidR="00AB0B3A" w:rsidRDefault="00AB0B3A">
            <w:pPr>
              <w:rPr>
                <w:sz w:val="24"/>
                <w:szCs w:val="24"/>
              </w:rPr>
            </w:pPr>
            <w:proofErr w:type="spellStart"/>
            <w:r>
              <w:rPr>
                <w:sz w:val="24"/>
                <w:szCs w:val="24"/>
              </w:rPr>
              <w:t>Climateworks</w:t>
            </w:r>
            <w:proofErr w:type="spellEnd"/>
            <w:r w:rsidR="00261954">
              <w:rPr>
                <w:sz w:val="24"/>
                <w:szCs w:val="24"/>
              </w:rPr>
              <w:t xml:space="preserve"> Centre</w:t>
            </w:r>
          </w:p>
          <w:p w14:paraId="48B6514D" w14:textId="77777777" w:rsidR="00AB0B3A" w:rsidRDefault="00AB0B3A">
            <w:pPr>
              <w:rPr>
                <w:sz w:val="24"/>
                <w:szCs w:val="24"/>
              </w:rPr>
            </w:pPr>
          </w:p>
          <w:p w14:paraId="1559E173" w14:textId="77777777" w:rsidR="00AB0B3A" w:rsidRDefault="00AB0B3A">
            <w:pPr>
              <w:rPr>
                <w:sz w:val="24"/>
                <w:szCs w:val="24"/>
              </w:rPr>
            </w:pPr>
            <w:r>
              <w:rPr>
                <w:sz w:val="24"/>
                <w:szCs w:val="24"/>
              </w:rPr>
              <w:t>Councillor, Climate Council</w:t>
            </w:r>
          </w:p>
          <w:p w14:paraId="342AB086" w14:textId="77777777" w:rsidR="00AB0B3A" w:rsidRDefault="00AB0B3A">
            <w:pPr>
              <w:rPr>
                <w:sz w:val="24"/>
                <w:szCs w:val="24"/>
              </w:rPr>
            </w:pPr>
          </w:p>
          <w:p w14:paraId="64C2E3E9" w14:textId="77777777" w:rsidR="00AB0B3A" w:rsidRDefault="00AB0B3A">
            <w:pPr>
              <w:rPr>
                <w:sz w:val="24"/>
                <w:szCs w:val="24"/>
              </w:rPr>
            </w:pPr>
            <w:r>
              <w:rPr>
                <w:sz w:val="24"/>
                <w:szCs w:val="24"/>
              </w:rPr>
              <w:t>Chief Executive Officer and Managing Director, Australian Logistics Council</w:t>
            </w:r>
          </w:p>
          <w:p w14:paraId="23AE5CAE" w14:textId="77777777" w:rsidR="00AB0B3A" w:rsidRDefault="00AB0B3A">
            <w:pPr>
              <w:rPr>
                <w:sz w:val="24"/>
                <w:szCs w:val="24"/>
              </w:rPr>
            </w:pPr>
          </w:p>
          <w:p w14:paraId="73263C6D" w14:textId="77777777" w:rsidR="00AB0B3A" w:rsidRDefault="00AB0B3A">
            <w:pPr>
              <w:rPr>
                <w:sz w:val="24"/>
                <w:szCs w:val="24"/>
              </w:rPr>
            </w:pPr>
            <w:r>
              <w:rPr>
                <w:sz w:val="24"/>
                <w:szCs w:val="24"/>
              </w:rPr>
              <w:t>Director Policy, NSW Mining (NSW Minerals Council)</w:t>
            </w:r>
          </w:p>
          <w:p w14:paraId="1CE90ACD" w14:textId="77777777" w:rsidR="00AB0B3A" w:rsidRDefault="00AB0B3A">
            <w:pPr>
              <w:rPr>
                <w:sz w:val="24"/>
                <w:szCs w:val="24"/>
              </w:rPr>
            </w:pPr>
          </w:p>
          <w:p w14:paraId="33500ED9" w14:textId="77777777" w:rsidR="00AB0B3A" w:rsidRDefault="00AB0B3A">
            <w:pPr>
              <w:rPr>
                <w:sz w:val="24"/>
                <w:szCs w:val="24"/>
              </w:rPr>
            </w:pPr>
            <w:r>
              <w:rPr>
                <w:sz w:val="24"/>
                <w:szCs w:val="24"/>
              </w:rPr>
              <w:t>National Policy Director, Property Council of Australia</w:t>
            </w:r>
          </w:p>
          <w:p w14:paraId="21567366" w14:textId="77777777" w:rsidR="00AB0B3A" w:rsidRDefault="00AB0B3A">
            <w:pPr>
              <w:rPr>
                <w:sz w:val="24"/>
                <w:szCs w:val="24"/>
                <w:lang w:val="en-US"/>
              </w:rPr>
            </w:pPr>
          </w:p>
          <w:p w14:paraId="0C95DE5C" w14:textId="77777777" w:rsidR="00AB0B3A" w:rsidRDefault="00AB0B3A">
            <w:pPr>
              <w:rPr>
                <w:sz w:val="24"/>
                <w:szCs w:val="24"/>
              </w:rPr>
            </w:pPr>
            <w:r>
              <w:rPr>
                <w:sz w:val="24"/>
                <w:szCs w:val="24"/>
              </w:rPr>
              <w:t>Chief Executive Officer, Australian Sustainable Built Environment Council</w:t>
            </w:r>
          </w:p>
          <w:p w14:paraId="6C801BC7" w14:textId="77777777" w:rsidR="00AB0B3A" w:rsidRDefault="00AB0B3A">
            <w:pPr>
              <w:rPr>
                <w:sz w:val="24"/>
                <w:szCs w:val="24"/>
              </w:rPr>
            </w:pPr>
          </w:p>
          <w:p w14:paraId="09B68F84" w14:textId="77777777" w:rsidR="00AB0B3A" w:rsidRDefault="00AB0B3A">
            <w:pPr>
              <w:rPr>
                <w:sz w:val="24"/>
                <w:szCs w:val="24"/>
              </w:rPr>
            </w:pPr>
            <w:r>
              <w:rPr>
                <w:sz w:val="24"/>
                <w:szCs w:val="24"/>
              </w:rPr>
              <w:t>Australian Industry Group</w:t>
            </w:r>
          </w:p>
          <w:p w14:paraId="3BAC75EC" w14:textId="77777777" w:rsidR="00AB0B3A" w:rsidRDefault="00AB0B3A">
            <w:pPr>
              <w:rPr>
                <w:sz w:val="24"/>
                <w:szCs w:val="24"/>
              </w:rPr>
            </w:pPr>
          </w:p>
          <w:p w14:paraId="6234B6B3" w14:textId="77777777" w:rsidR="00AB0B3A" w:rsidRDefault="00AB0B3A">
            <w:pPr>
              <w:rPr>
                <w:sz w:val="24"/>
                <w:szCs w:val="24"/>
              </w:rPr>
            </w:pPr>
            <w:r>
              <w:rPr>
                <w:sz w:val="24"/>
                <w:szCs w:val="24"/>
              </w:rPr>
              <w:t>Chairperson and Councillor for Sydney Newcastle Region, NSW Aboriginal Land Council</w:t>
            </w:r>
          </w:p>
          <w:p w14:paraId="1B51D44F" w14:textId="77777777" w:rsidR="00AB0B3A" w:rsidRDefault="00AB0B3A">
            <w:pPr>
              <w:rPr>
                <w:sz w:val="24"/>
                <w:szCs w:val="24"/>
              </w:rPr>
            </w:pPr>
          </w:p>
          <w:p w14:paraId="2D4AA807" w14:textId="77777777" w:rsidR="00AB0B3A" w:rsidRDefault="00AB0B3A">
            <w:pPr>
              <w:rPr>
                <w:sz w:val="24"/>
                <w:szCs w:val="24"/>
              </w:rPr>
            </w:pPr>
            <w:r>
              <w:rPr>
                <w:sz w:val="24"/>
                <w:szCs w:val="24"/>
              </w:rPr>
              <w:t>Executive Director, NSW Aboriginal Land Council</w:t>
            </w:r>
          </w:p>
          <w:p w14:paraId="34A4406F" w14:textId="61B701D5" w:rsidR="00AB0B3A" w:rsidRDefault="00AB0B3A">
            <w:pPr>
              <w:rPr>
                <w:sz w:val="24"/>
                <w:szCs w:val="24"/>
              </w:rPr>
            </w:pPr>
            <w:r>
              <w:rPr>
                <w:sz w:val="24"/>
                <w:szCs w:val="24"/>
              </w:rPr>
              <w:lastRenderedPageBreak/>
              <w:t>A/Group Director of Climate and Natural Resources, Agriculture &amp; Biosecurity, Department of Primary Industries and Regional Development</w:t>
            </w:r>
            <w:r w:rsidR="00380784">
              <w:rPr>
                <w:sz w:val="24"/>
                <w:szCs w:val="24"/>
              </w:rPr>
              <w:t xml:space="preserve"> NSW</w:t>
            </w:r>
          </w:p>
          <w:p w14:paraId="1C48BABF" w14:textId="77777777" w:rsidR="00AB0B3A" w:rsidRDefault="00AB0B3A">
            <w:pPr>
              <w:rPr>
                <w:sz w:val="24"/>
                <w:szCs w:val="24"/>
              </w:rPr>
            </w:pPr>
          </w:p>
          <w:p w14:paraId="2D30E264" w14:textId="4F82E9FE" w:rsidR="00AB0B3A" w:rsidRDefault="00AB0B3A">
            <w:pPr>
              <w:rPr>
                <w:sz w:val="24"/>
                <w:szCs w:val="24"/>
              </w:rPr>
            </w:pPr>
            <w:r>
              <w:rPr>
                <w:sz w:val="24"/>
                <w:szCs w:val="24"/>
              </w:rPr>
              <w:t>Senior Principal Research Scientist, Climate, Department of Primary Industries and Regional Development</w:t>
            </w:r>
            <w:r w:rsidR="00380784">
              <w:rPr>
                <w:sz w:val="24"/>
                <w:szCs w:val="24"/>
              </w:rPr>
              <w:t xml:space="preserve"> NSW</w:t>
            </w:r>
          </w:p>
          <w:p w14:paraId="4769E83A" w14:textId="77777777" w:rsidR="00AB0B3A" w:rsidRDefault="00AB0B3A">
            <w:pPr>
              <w:rPr>
                <w:sz w:val="24"/>
                <w:szCs w:val="24"/>
              </w:rPr>
            </w:pPr>
          </w:p>
          <w:p w14:paraId="44FEC100" w14:textId="77777777" w:rsidR="00AB0B3A" w:rsidRDefault="00AB0B3A">
            <w:pPr>
              <w:rPr>
                <w:sz w:val="24"/>
                <w:szCs w:val="24"/>
              </w:rPr>
            </w:pPr>
            <w:r>
              <w:rPr>
                <w:sz w:val="24"/>
                <w:szCs w:val="24"/>
              </w:rPr>
              <w:t>Commissioner, Net Zero Commission</w:t>
            </w:r>
          </w:p>
          <w:p w14:paraId="7C3F0539" w14:textId="77777777" w:rsidR="00AB0B3A" w:rsidRDefault="00AB0B3A">
            <w:pPr>
              <w:rPr>
                <w:sz w:val="24"/>
                <w:szCs w:val="24"/>
                <w:lang w:val="en-US"/>
              </w:rPr>
            </w:pPr>
          </w:p>
          <w:p w14:paraId="18B84EF3" w14:textId="77777777" w:rsidR="00AB0B3A" w:rsidRDefault="00AB0B3A">
            <w:pPr>
              <w:rPr>
                <w:sz w:val="24"/>
                <w:szCs w:val="24"/>
                <w:lang w:val="en-US"/>
              </w:rPr>
            </w:pPr>
            <w:r>
              <w:rPr>
                <w:sz w:val="24"/>
                <w:szCs w:val="24"/>
              </w:rPr>
              <w:t>Commissioner, Net Zero Commission</w:t>
            </w:r>
          </w:p>
          <w:p w14:paraId="71B981D6" w14:textId="77777777" w:rsidR="00AB0B3A" w:rsidRDefault="00AB0B3A">
            <w:pPr>
              <w:rPr>
                <w:sz w:val="24"/>
                <w:szCs w:val="24"/>
                <w:lang w:val="en-US"/>
              </w:rPr>
            </w:pPr>
          </w:p>
          <w:p w14:paraId="74B6EC78" w14:textId="77777777" w:rsidR="00AB0B3A" w:rsidRDefault="00AB0B3A">
            <w:pPr>
              <w:rPr>
                <w:sz w:val="24"/>
                <w:szCs w:val="24"/>
                <w:lang w:val="en-US"/>
              </w:rPr>
            </w:pPr>
            <w:r>
              <w:rPr>
                <w:sz w:val="24"/>
                <w:szCs w:val="24"/>
              </w:rPr>
              <w:t>Commissioner, Net Zero Commission</w:t>
            </w:r>
          </w:p>
          <w:p w14:paraId="289AB001" w14:textId="77777777" w:rsidR="00AB0B3A" w:rsidRDefault="00AB0B3A">
            <w:pPr>
              <w:rPr>
                <w:sz w:val="24"/>
                <w:szCs w:val="24"/>
                <w:lang w:val="en-US"/>
              </w:rPr>
            </w:pPr>
          </w:p>
          <w:p w14:paraId="515EEC4E" w14:textId="77777777" w:rsidR="00AB0B3A" w:rsidRDefault="00AB0B3A">
            <w:pPr>
              <w:rPr>
                <w:sz w:val="24"/>
                <w:szCs w:val="24"/>
                <w:lang w:val="en-US"/>
              </w:rPr>
            </w:pPr>
            <w:r>
              <w:rPr>
                <w:sz w:val="24"/>
                <w:szCs w:val="24"/>
              </w:rPr>
              <w:t>Executive Director, Net Zero Commission</w:t>
            </w:r>
          </w:p>
          <w:p w14:paraId="419C534A" w14:textId="77777777" w:rsidR="00AB0B3A" w:rsidRDefault="00AB0B3A">
            <w:pPr>
              <w:rPr>
                <w:sz w:val="24"/>
                <w:szCs w:val="24"/>
                <w:lang w:val="en-US"/>
              </w:rPr>
            </w:pPr>
          </w:p>
        </w:tc>
      </w:tr>
    </w:tbl>
    <w:p w14:paraId="580C4212" w14:textId="77777777" w:rsidR="00AB0B3A" w:rsidRDefault="00AB0B3A" w:rsidP="00AB0B3A">
      <w:pPr>
        <w:pStyle w:val="AppxSubmissBold"/>
      </w:pPr>
    </w:p>
    <w:p w14:paraId="56D4AE47" w14:textId="0459855B" w:rsidR="00AB0B3A" w:rsidRDefault="00AB0B3A">
      <w:pPr>
        <w:rPr>
          <w:sz w:val="24"/>
        </w:rPr>
      </w:pPr>
      <w:r>
        <w:br w:type="page"/>
      </w:r>
    </w:p>
    <w:p w14:paraId="000FECA8" w14:textId="77777777" w:rsidR="00C60BBE" w:rsidRDefault="00C60BBE" w:rsidP="00C60BBE">
      <w:pPr>
        <w:pStyle w:val="AppxTitle"/>
        <w:numPr>
          <w:ilvl w:val="0"/>
          <w:numId w:val="0"/>
        </w:numPr>
        <w:tabs>
          <w:tab w:val="left" w:pos="720"/>
        </w:tabs>
        <w:rPr>
          <w:lang w:val="en-US"/>
        </w:rPr>
      </w:pPr>
      <w:bookmarkStart w:id="117" w:name="_Toc194052260"/>
      <w:r>
        <w:rPr>
          <w:lang w:val="en-US"/>
        </w:rPr>
        <w:lastRenderedPageBreak/>
        <w:t>Appendix 3</w:t>
      </w:r>
      <w:r>
        <w:rPr>
          <w:lang w:val="en-US"/>
        </w:rPr>
        <w:tab/>
        <w:t>Minutes</w:t>
      </w:r>
      <w:bookmarkEnd w:id="117"/>
    </w:p>
    <w:p w14:paraId="7DF69742" w14:textId="77777777" w:rsidR="00C60BBE" w:rsidRDefault="00C60BBE" w:rsidP="00C60BBE">
      <w:pPr>
        <w:pStyle w:val="AppxMinutesTitle"/>
      </w:pPr>
      <w:bookmarkStart w:id="118" w:name="AppxPageTwo"/>
      <w:bookmarkEnd w:id="118"/>
      <w:r>
        <w:t xml:space="preserve">Minutes no. </w:t>
      </w:r>
      <w:bookmarkStart w:id="119" w:name="MinutesNo"/>
      <w:bookmarkEnd w:id="119"/>
      <w:r>
        <w:t>1</w:t>
      </w:r>
    </w:p>
    <w:p w14:paraId="7815C1F3" w14:textId="77777777" w:rsidR="00C60BBE" w:rsidRDefault="00C60BBE" w:rsidP="00C60BBE">
      <w:pPr>
        <w:pStyle w:val="AppxMinutesInfo"/>
        <w:rPr>
          <w:szCs w:val="24"/>
        </w:rPr>
      </w:pPr>
      <w:r>
        <w:rPr>
          <w:szCs w:val="24"/>
        </w:rPr>
        <w:t>Friday 2 August 2024</w:t>
      </w:r>
    </w:p>
    <w:p w14:paraId="75BE8262" w14:textId="77777777" w:rsidR="00C60BBE" w:rsidRDefault="00C60BBE" w:rsidP="00C60BBE">
      <w:pPr>
        <w:pStyle w:val="AppxMinutesInfo"/>
        <w:rPr>
          <w:szCs w:val="24"/>
        </w:rPr>
      </w:pPr>
      <w:r>
        <w:rPr>
          <w:szCs w:val="24"/>
        </w:rPr>
        <w:t>Joint Standing Committee on Net Zero Future</w:t>
      </w:r>
    </w:p>
    <w:p w14:paraId="289CD43A" w14:textId="77777777" w:rsidR="00C60BBE" w:rsidRDefault="00C60BBE" w:rsidP="00C60BBE">
      <w:pPr>
        <w:pStyle w:val="AppxMinutesInfo"/>
        <w:rPr>
          <w:szCs w:val="24"/>
        </w:rPr>
      </w:pPr>
      <w:r>
        <w:rPr>
          <w:szCs w:val="24"/>
        </w:rPr>
        <w:t>Room 1136, Parliament House, Sydney, 12.02 pm</w:t>
      </w:r>
    </w:p>
    <w:p w14:paraId="23867AD5" w14:textId="77777777" w:rsidR="00C60BBE" w:rsidRDefault="00C60BBE" w:rsidP="00C60BBE">
      <w:pPr>
        <w:pStyle w:val="AppxMinutesHeadingOne"/>
        <w:numPr>
          <w:ilvl w:val="0"/>
          <w:numId w:val="38"/>
        </w:numPr>
        <w:rPr>
          <w:szCs w:val="24"/>
        </w:rPr>
      </w:pPr>
      <w:r>
        <w:rPr>
          <w:szCs w:val="24"/>
        </w:rPr>
        <w:t>Members present</w:t>
      </w:r>
    </w:p>
    <w:p w14:paraId="7922F4F9" w14:textId="77777777" w:rsidR="00C60BBE" w:rsidRDefault="00C60BBE" w:rsidP="00C60BBE">
      <w:pPr>
        <w:pStyle w:val="AppxMinutesBodySingle"/>
      </w:pPr>
      <w:r>
        <w:t xml:space="preserve">Mr Buckingham, </w:t>
      </w:r>
      <w:r>
        <w:rPr>
          <w:i/>
          <w:iCs/>
        </w:rPr>
        <w:t>Chair</w:t>
      </w:r>
    </w:p>
    <w:p w14:paraId="4D1CEC1E" w14:textId="77777777" w:rsidR="00C60BBE" w:rsidRDefault="00C60BBE" w:rsidP="00C60BBE">
      <w:pPr>
        <w:pStyle w:val="AppxMinutesBodySingle"/>
      </w:pPr>
      <w:r>
        <w:t>Mr Buttigieg</w:t>
      </w:r>
    </w:p>
    <w:p w14:paraId="699B17E2" w14:textId="77777777" w:rsidR="00C60BBE" w:rsidRDefault="00C60BBE" w:rsidP="00C60BBE">
      <w:pPr>
        <w:pStyle w:val="AppxMinutesBodySingle"/>
      </w:pPr>
      <w:r>
        <w:t>Mr Fang (via videoconference)</w:t>
      </w:r>
    </w:p>
    <w:p w14:paraId="7DF022E6" w14:textId="77777777" w:rsidR="00C60BBE" w:rsidRDefault="00C60BBE" w:rsidP="00C60BBE">
      <w:pPr>
        <w:pStyle w:val="AppxMinutesBodySingle"/>
      </w:pPr>
      <w:r>
        <w:t>Mr Griffin (via videoconference)</w:t>
      </w:r>
    </w:p>
    <w:p w14:paraId="0077BDAE" w14:textId="77777777" w:rsidR="00C60BBE" w:rsidRDefault="00C60BBE" w:rsidP="00C60BBE">
      <w:pPr>
        <w:pStyle w:val="AppxMinutesBodySingle"/>
      </w:pPr>
      <w:r>
        <w:t>Ms Higginson</w:t>
      </w:r>
    </w:p>
    <w:p w14:paraId="0CB473E3" w14:textId="77777777" w:rsidR="00C60BBE" w:rsidRDefault="00C60BBE" w:rsidP="00C60BBE">
      <w:pPr>
        <w:pStyle w:val="AppxMinutesBodySingle"/>
      </w:pPr>
      <w:r>
        <w:t>Ms Munro</w:t>
      </w:r>
    </w:p>
    <w:p w14:paraId="01CE7D5F" w14:textId="77777777" w:rsidR="00C60BBE" w:rsidRDefault="00C60BBE" w:rsidP="00C60BBE">
      <w:pPr>
        <w:pStyle w:val="AppxMinutesBodySingle"/>
      </w:pPr>
      <w:r>
        <w:t>Mr Murphy</w:t>
      </w:r>
    </w:p>
    <w:p w14:paraId="69AC6370" w14:textId="77777777" w:rsidR="00C60BBE" w:rsidRDefault="00C60BBE" w:rsidP="00C60BBE">
      <w:pPr>
        <w:pStyle w:val="AppxMinutesBodySingle"/>
      </w:pPr>
      <w:r>
        <w:t>Ms Suvaal (via videoconference)</w:t>
      </w:r>
    </w:p>
    <w:p w14:paraId="156FB18C" w14:textId="77777777" w:rsidR="00C60BBE" w:rsidRDefault="00C60BBE" w:rsidP="00C60BBE">
      <w:pPr>
        <w:pStyle w:val="AppxMinutesBodySingle"/>
      </w:pPr>
      <w:r>
        <w:t>Ms Tesch</w:t>
      </w:r>
    </w:p>
    <w:p w14:paraId="78FAFF3A" w14:textId="77777777" w:rsidR="00C60BBE" w:rsidRDefault="00C60BBE" w:rsidP="00C60BBE">
      <w:pPr>
        <w:pStyle w:val="AppxMinutesHeadingOne"/>
        <w:numPr>
          <w:ilvl w:val="0"/>
          <w:numId w:val="38"/>
        </w:numPr>
        <w:rPr>
          <w:szCs w:val="24"/>
        </w:rPr>
      </w:pPr>
      <w:r>
        <w:rPr>
          <w:szCs w:val="24"/>
        </w:rPr>
        <w:t>Apologies</w:t>
      </w:r>
    </w:p>
    <w:p w14:paraId="501E5D30" w14:textId="77777777" w:rsidR="00C60BBE" w:rsidRDefault="00C60BBE" w:rsidP="00C60BBE">
      <w:pPr>
        <w:pStyle w:val="AppxMinutesBody"/>
      </w:pPr>
      <w:r>
        <w:t>Ms Doyle</w:t>
      </w:r>
    </w:p>
    <w:p w14:paraId="37E9E3DD" w14:textId="77777777" w:rsidR="00C60BBE" w:rsidRDefault="00C60BBE" w:rsidP="00C60BBE">
      <w:pPr>
        <w:pStyle w:val="AppxMinutesHeadingOne"/>
        <w:numPr>
          <w:ilvl w:val="0"/>
          <w:numId w:val="38"/>
        </w:numPr>
        <w:rPr>
          <w:szCs w:val="24"/>
        </w:rPr>
      </w:pPr>
      <w:r>
        <w:rPr>
          <w:szCs w:val="24"/>
        </w:rPr>
        <w:t>Tabling of resolution establishing the committee</w:t>
      </w:r>
    </w:p>
    <w:p w14:paraId="22D75E91" w14:textId="77777777" w:rsidR="00C60BBE" w:rsidRDefault="00C60BBE" w:rsidP="00C60BBE">
      <w:pPr>
        <w:pStyle w:val="AppxMinutesBody"/>
      </w:pPr>
      <w:r>
        <w:t>The Clerk tabled the resolution of the House establishing the committee, which reads as follows:</w:t>
      </w:r>
    </w:p>
    <w:p w14:paraId="3B53ACE1" w14:textId="77777777" w:rsidR="00C60BBE" w:rsidRDefault="00C60BBE" w:rsidP="00C60BBE">
      <w:pPr>
        <w:pStyle w:val="AppxMinutesNum1"/>
        <w:numPr>
          <w:ilvl w:val="2"/>
          <w:numId w:val="38"/>
        </w:numPr>
        <w:tabs>
          <w:tab w:val="num" w:pos="2552"/>
        </w:tabs>
        <w:spacing w:after="120"/>
        <w:jc w:val="both"/>
        <w:rPr>
          <w:szCs w:val="24"/>
        </w:rPr>
      </w:pPr>
      <w:r>
        <w:rPr>
          <w:szCs w:val="24"/>
        </w:rPr>
        <w:t xml:space="preserve">That a joint standing committee be established to inquire into and report on Net Zero Future, in particular: </w:t>
      </w:r>
    </w:p>
    <w:p w14:paraId="141C032A" w14:textId="77777777" w:rsidR="00C60BBE" w:rsidRDefault="00C60BBE" w:rsidP="00C60BBE">
      <w:pPr>
        <w:pStyle w:val="AppxMinutesNum2"/>
        <w:numPr>
          <w:ilvl w:val="3"/>
          <w:numId w:val="38"/>
        </w:numPr>
        <w:spacing w:after="120"/>
        <w:ind w:left="1135" w:hanging="284"/>
        <w:jc w:val="both"/>
        <w:rPr>
          <w:szCs w:val="24"/>
        </w:rPr>
      </w:pPr>
      <w:r>
        <w:rPr>
          <w:szCs w:val="24"/>
        </w:rPr>
        <w:t xml:space="preserve">to monitor and review the exercise of the Net Zero Commission's functions under the </w:t>
      </w:r>
      <w:r>
        <w:rPr>
          <w:i/>
          <w:iCs/>
          <w:szCs w:val="24"/>
        </w:rPr>
        <w:t>Climate Change (Net Zero Future) Act 2023</w:t>
      </w:r>
      <w:r>
        <w:rPr>
          <w:szCs w:val="24"/>
        </w:rPr>
        <w:t xml:space="preserve">, </w:t>
      </w:r>
    </w:p>
    <w:p w14:paraId="11B22A6B" w14:textId="77777777" w:rsidR="00C60BBE" w:rsidRDefault="00C60BBE" w:rsidP="00C60BBE">
      <w:pPr>
        <w:pStyle w:val="AppxMinutesNum2"/>
        <w:numPr>
          <w:ilvl w:val="3"/>
          <w:numId w:val="38"/>
        </w:numPr>
        <w:spacing w:after="120"/>
        <w:ind w:left="1135" w:hanging="284"/>
        <w:jc w:val="both"/>
        <w:rPr>
          <w:szCs w:val="24"/>
        </w:rPr>
      </w:pPr>
      <w:r>
        <w:rPr>
          <w:szCs w:val="24"/>
        </w:rPr>
        <w:t xml:space="preserve">to examine each annual report, and other reports of the Net Zero Commission as the Committee sees fit and to report to both Houses of Parliament on any matter appearing in or arising out of, any such report, </w:t>
      </w:r>
    </w:p>
    <w:p w14:paraId="7B11FB46" w14:textId="77777777" w:rsidR="00C60BBE" w:rsidRDefault="00C60BBE" w:rsidP="00C60BBE">
      <w:pPr>
        <w:pStyle w:val="AppxMinutesNum2"/>
        <w:numPr>
          <w:ilvl w:val="3"/>
          <w:numId w:val="38"/>
        </w:numPr>
        <w:spacing w:after="120"/>
        <w:ind w:left="1135" w:hanging="284"/>
        <w:jc w:val="both"/>
        <w:rPr>
          <w:szCs w:val="24"/>
        </w:rPr>
      </w:pPr>
      <w:r>
        <w:rPr>
          <w:szCs w:val="24"/>
        </w:rPr>
        <w:t xml:space="preserve">to inquire into any question in connection with the Committee's functions which is referred to it by both Houses of Parliament and to report to both Houses on that question, and </w:t>
      </w:r>
    </w:p>
    <w:p w14:paraId="7BE1934E" w14:textId="77777777" w:rsidR="00C60BBE" w:rsidRDefault="00C60BBE" w:rsidP="00C60BBE">
      <w:pPr>
        <w:pStyle w:val="AppxMinutesNum2"/>
        <w:numPr>
          <w:ilvl w:val="3"/>
          <w:numId w:val="38"/>
        </w:numPr>
        <w:spacing w:after="120"/>
        <w:ind w:left="1135" w:hanging="284"/>
        <w:jc w:val="both"/>
        <w:rPr>
          <w:szCs w:val="24"/>
        </w:rPr>
      </w:pPr>
      <w:r>
        <w:rPr>
          <w:szCs w:val="24"/>
        </w:rPr>
        <w:t xml:space="preserve">any other related matters. </w:t>
      </w:r>
    </w:p>
    <w:p w14:paraId="17DD0050" w14:textId="77777777" w:rsidR="00C60BBE" w:rsidRDefault="00C60BBE" w:rsidP="00C60BBE">
      <w:pPr>
        <w:pStyle w:val="AppxMinutesNum1"/>
        <w:numPr>
          <w:ilvl w:val="2"/>
          <w:numId w:val="38"/>
        </w:numPr>
        <w:tabs>
          <w:tab w:val="num" w:pos="2552"/>
        </w:tabs>
        <w:spacing w:after="120"/>
        <w:jc w:val="both"/>
        <w:rPr>
          <w:szCs w:val="24"/>
        </w:rPr>
      </w:pPr>
      <w:r>
        <w:rPr>
          <w:szCs w:val="24"/>
        </w:rPr>
        <w:t xml:space="preserve">That, notwithstanding anything to the contrary in the standing orders of either House, the committee consist of 12 members comprising: </w:t>
      </w:r>
    </w:p>
    <w:p w14:paraId="1461C2F9" w14:textId="77777777" w:rsidR="00C60BBE" w:rsidRDefault="00C60BBE" w:rsidP="00C60BBE">
      <w:pPr>
        <w:pStyle w:val="AppxMinutesNum2"/>
        <w:numPr>
          <w:ilvl w:val="3"/>
          <w:numId w:val="38"/>
        </w:numPr>
        <w:spacing w:after="120"/>
        <w:jc w:val="both"/>
        <w:rPr>
          <w:szCs w:val="24"/>
        </w:rPr>
      </w:pPr>
      <w:r>
        <w:rPr>
          <w:szCs w:val="24"/>
        </w:rPr>
        <w:t xml:space="preserve">five members of the Legislative Assembly, and </w:t>
      </w:r>
    </w:p>
    <w:p w14:paraId="05818FFF" w14:textId="77777777" w:rsidR="00C60BBE" w:rsidRDefault="00C60BBE" w:rsidP="00C60BBE">
      <w:pPr>
        <w:pStyle w:val="AppxMinutesNum2"/>
        <w:numPr>
          <w:ilvl w:val="3"/>
          <w:numId w:val="38"/>
        </w:numPr>
        <w:spacing w:after="120"/>
        <w:jc w:val="both"/>
        <w:rPr>
          <w:szCs w:val="24"/>
        </w:rPr>
      </w:pPr>
      <w:r>
        <w:rPr>
          <w:szCs w:val="24"/>
        </w:rPr>
        <w:t xml:space="preserve">seven members of the Legislative Council, of whom </w:t>
      </w:r>
    </w:p>
    <w:p w14:paraId="567DCC54" w14:textId="77777777" w:rsidR="00C60BBE" w:rsidRDefault="00C60BBE" w:rsidP="00C60BBE">
      <w:pPr>
        <w:pStyle w:val="AppxMinutesNum3"/>
        <w:numPr>
          <w:ilvl w:val="4"/>
          <w:numId w:val="38"/>
        </w:numPr>
        <w:spacing w:after="120"/>
        <w:jc w:val="both"/>
        <w:rPr>
          <w:szCs w:val="24"/>
        </w:rPr>
      </w:pPr>
      <w:r>
        <w:rPr>
          <w:szCs w:val="24"/>
        </w:rPr>
        <w:t xml:space="preserve">three are government members, being Mr Cameron Murphy, Ms Emily Suvaal and Mr Mark Buttigieg, </w:t>
      </w:r>
    </w:p>
    <w:p w14:paraId="3314902D" w14:textId="77777777" w:rsidR="00C60BBE" w:rsidRDefault="00C60BBE" w:rsidP="00C60BBE">
      <w:pPr>
        <w:pStyle w:val="AppxMinutesNum3"/>
        <w:numPr>
          <w:ilvl w:val="4"/>
          <w:numId w:val="38"/>
        </w:numPr>
        <w:spacing w:after="120"/>
        <w:jc w:val="both"/>
        <w:rPr>
          <w:szCs w:val="24"/>
        </w:rPr>
      </w:pPr>
      <w:r>
        <w:rPr>
          <w:szCs w:val="24"/>
        </w:rPr>
        <w:t xml:space="preserve">four are non-government members, being Mr Wes Fang, Ms Jacqui Munro, Ms Susan Higginson and Mr Jeremy Buckingham. </w:t>
      </w:r>
    </w:p>
    <w:p w14:paraId="36EBEA23" w14:textId="77777777" w:rsidR="00C60BBE" w:rsidRDefault="00C60BBE" w:rsidP="00C60BBE">
      <w:pPr>
        <w:pStyle w:val="AppxMinutesNum1"/>
        <w:numPr>
          <w:ilvl w:val="2"/>
          <w:numId w:val="38"/>
        </w:numPr>
        <w:tabs>
          <w:tab w:val="num" w:pos="2552"/>
        </w:tabs>
        <w:spacing w:after="120"/>
        <w:jc w:val="both"/>
        <w:rPr>
          <w:szCs w:val="24"/>
        </w:rPr>
      </w:pPr>
      <w:r>
        <w:rPr>
          <w:szCs w:val="24"/>
        </w:rPr>
        <w:t xml:space="preserve">That the Chair of the committee be Mr Jeremy Buckingham and that the Deputy Chair be appointed by the Legislative Assembly. </w:t>
      </w:r>
    </w:p>
    <w:p w14:paraId="138207C0" w14:textId="77777777" w:rsidR="00C60BBE" w:rsidRDefault="00C60BBE" w:rsidP="00C60BBE">
      <w:pPr>
        <w:pStyle w:val="AppxMinutesNum1"/>
        <w:numPr>
          <w:ilvl w:val="2"/>
          <w:numId w:val="38"/>
        </w:numPr>
        <w:tabs>
          <w:tab w:val="num" w:pos="2552"/>
        </w:tabs>
        <w:spacing w:after="120"/>
        <w:jc w:val="both"/>
        <w:rPr>
          <w:szCs w:val="24"/>
        </w:rPr>
      </w:pPr>
      <w:r>
        <w:rPr>
          <w:szCs w:val="24"/>
        </w:rPr>
        <w:t xml:space="preserve">That, notwithstanding anything in the standing orders of either House, at any meeting of the committee, any seven members of the committee will constitute a quorum, provided that at least one member of each House is present at all times. </w:t>
      </w:r>
    </w:p>
    <w:p w14:paraId="7E700BB7" w14:textId="77777777" w:rsidR="00C60BBE" w:rsidRDefault="00C60BBE" w:rsidP="00C60BBE">
      <w:pPr>
        <w:pStyle w:val="AppxMinutesNum1"/>
        <w:numPr>
          <w:ilvl w:val="2"/>
          <w:numId w:val="38"/>
        </w:numPr>
        <w:tabs>
          <w:tab w:val="num" w:pos="2552"/>
        </w:tabs>
        <w:spacing w:after="120"/>
        <w:jc w:val="both"/>
        <w:rPr>
          <w:szCs w:val="24"/>
        </w:rPr>
      </w:pPr>
      <w:r>
        <w:rPr>
          <w:szCs w:val="24"/>
        </w:rPr>
        <w:lastRenderedPageBreak/>
        <w:t xml:space="preserve">The committee have leave to make visits of inspection within New South Wales and elsewhere in Australia. </w:t>
      </w:r>
    </w:p>
    <w:p w14:paraId="2B7E69D0" w14:textId="77777777" w:rsidR="00C60BBE" w:rsidRDefault="00C60BBE" w:rsidP="00C60BBE">
      <w:pPr>
        <w:pStyle w:val="AppxMinutesNum1"/>
        <w:numPr>
          <w:ilvl w:val="2"/>
          <w:numId w:val="38"/>
        </w:numPr>
        <w:tabs>
          <w:tab w:val="clear" w:pos="851"/>
          <w:tab w:val="num" w:pos="1134"/>
          <w:tab w:val="num" w:pos="2552"/>
        </w:tabs>
        <w:spacing w:after="120"/>
        <w:jc w:val="both"/>
        <w:rPr>
          <w:szCs w:val="24"/>
        </w:rPr>
      </w:pPr>
      <w:r>
        <w:rPr>
          <w:szCs w:val="24"/>
        </w:rPr>
        <w:t xml:space="preserve">That, unless the committee decides otherwise: </w:t>
      </w:r>
    </w:p>
    <w:p w14:paraId="2BAE0DA1" w14:textId="77777777" w:rsidR="00C60BBE" w:rsidRDefault="00C60BBE" w:rsidP="00C60BBE">
      <w:pPr>
        <w:pStyle w:val="AppxMinutesNum2"/>
        <w:numPr>
          <w:ilvl w:val="3"/>
          <w:numId w:val="38"/>
        </w:numPr>
        <w:spacing w:after="120"/>
        <w:jc w:val="both"/>
        <w:rPr>
          <w:szCs w:val="24"/>
        </w:rPr>
      </w:pPr>
      <w:r>
        <w:rPr>
          <w:szCs w:val="24"/>
        </w:rPr>
        <w:t xml:space="preserve">all inquiries are to be advertised via social media, stakeholder emails and a media release distributed to all media outlets in New South Wales, Resolution – Joint Standing Committee on Net Zero Future </w:t>
      </w:r>
    </w:p>
    <w:p w14:paraId="4F4DB4C0" w14:textId="77777777" w:rsidR="00C60BBE" w:rsidRDefault="00C60BBE" w:rsidP="00C60BBE">
      <w:pPr>
        <w:pStyle w:val="AppxMinutesNum2"/>
        <w:numPr>
          <w:ilvl w:val="3"/>
          <w:numId w:val="38"/>
        </w:numPr>
        <w:spacing w:after="120"/>
        <w:jc w:val="both"/>
        <w:rPr>
          <w:szCs w:val="24"/>
        </w:rPr>
      </w:pPr>
      <w:r>
        <w:rPr>
          <w:szCs w:val="24"/>
        </w:rPr>
        <w:t xml:space="preserve">submissions to inquiries are to be published, subject to the Committee Clerk checking for confidentiality and adverse mention and, where those issues arise, bringing them to the attention of the committee for consideration, </w:t>
      </w:r>
    </w:p>
    <w:p w14:paraId="731C0CBA" w14:textId="77777777" w:rsidR="00C60BBE" w:rsidRDefault="00C60BBE" w:rsidP="00C60BBE">
      <w:pPr>
        <w:pStyle w:val="AppxMinutesNum2"/>
        <w:numPr>
          <w:ilvl w:val="3"/>
          <w:numId w:val="38"/>
        </w:numPr>
        <w:spacing w:after="120"/>
        <w:jc w:val="both"/>
        <w:rPr>
          <w:szCs w:val="24"/>
        </w:rPr>
      </w:pPr>
      <w:r>
        <w:rPr>
          <w:szCs w:val="24"/>
        </w:rPr>
        <w:t xml:space="preserve">attachments to submissions are to remain confidential, </w:t>
      </w:r>
    </w:p>
    <w:p w14:paraId="162139C1" w14:textId="77777777" w:rsidR="00C60BBE" w:rsidRDefault="00C60BBE" w:rsidP="00C60BBE">
      <w:pPr>
        <w:pStyle w:val="AppxMinutesNum2"/>
        <w:numPr>
          <w:ilvl w:val="3"/>
          <w:numId w:val="38"/>
        </w:numPr>
        <w:spacing w:after="120"/>
        <w:jc w:val="both"/>
        <w:rPr>
          <w:szCs w:val="24"/>
        </w:rPr>
      </w:pPr>
      <w:r>
        <w:rPr>
          <w:szCs w:val="24"/>
        </w:rPr>
        <w:t xml:space="preserve">the Chair’s proposed witness list is to be circulated to provide members with an opportunity to amend the list, with the witness list agreed to by email, unless a member requests the Chair to convene a meeting to resolve any disagreement, </w:t>
      </w:r>
    </w:p>
    <w:p w14:paraId="13B15019" w14:textId="77777777" w:rsidR="00C60BBE" w:rsidRDefault="00C60BBE" w:rsidP="00C60BBE">
      <w:pPr>
        <w:pStyle w:val="AppxMinutesNum2"/>
        <w:numPr>
          <w:ilvl w:val="3"/>
          <w:numId w:val="38"/>
        </w:numPr>
        <w:spacing w:after="120"/>
        <w:jc w:val="both"/>
        <w:rPr>
          <w:szCs w:val="24"/>
        </w:rPr>
      </w:pPr>
      <w:r>
        <w:rPr>
          <w:szCs w:val="24"/>
        </w:rPr>
        <w:t xml:space="preserve">the sequence of questions to be asked at hearings alternate between opposition, crossbench and Government members, in that order, with equal time allocated to each, </w:t>
      </w:r>
    </w:p>
    <w:p w14:paraId="145A7E4A" w14:textId="77777777" w:rsidR="00C60BBE" w:rsidRDefault="00C60BBE" w:rsidP="00C60BBE">
      <w:pPr>
        <w:pStyle w:val="AppxMinutesNum2"/>
        <w:numPr>
          <w:ilvl w:val="3"/>
          <w:numId w:val="38"/>
        </w:numPr>
        <w:spacing w:after="120"/>
        <w:jc w:val="both"/>
        <w:rPr>
          <w:szCs w:val="24"/>
        </w:rPr>
      </w:pPr>
      <w:r>
        <w:rPr>
          <w:szCs w:val="24"/>
        </w:rPr>
        <w:t xml:space="preserve">transcripts of evidence taken at public hearings are to be published, </w:t>
      </w:r>
    </w:p>
    <w:p w14:paraId="6EABA0FD" w14:textId="77777777" w:rsidR="00C60BBE" w:rsidRDefault="00C60BBE" w:rsidP="00C60BBE">
      <w:pPr>
        <w:pStyle w:val="AppxMinutesNum2"/>
        <w:numPr>
          <w:ilvl w:val="3"/>
          <w:numId w:val="38"/>
        </w:numPr>
        <w:spacing w:after="120"/>
        <w:jc w:val="both"/>
        <w:rPr>
          <w:szCs w:val="24"/>
        </w:rPr>
      </w:pPr>
      <w:r>
        <w:rPr>
          <w:szCs w:val="24"/>
        </w:rPr>
        <w:t xml:space="preserve">supplementary questions are to be lodged with the Committee Clerk within two business days following the receipt of the hearing transcript, with witnesses requested to return answers to questions on notice and supplementary questions within 21 calendar days of the date on which questions are forwarded to the witness, </w:t>
      </w:r>
    </w:p>
    <w:p w14:paraId="494C0E62" w14:textId="77777777" w:rsidR="00C60BBE" w:rsidRDefault="00C60BBE" w:rsidP="00C60BBE">
      <w:pPr>
        <w:pStyle w:val="AppxMinutesNum2"/>
        <w:numPr>
          <w:ilvl w:val="3"/>
          <w:numId w:val="38"/>
        </w:numPr>
        <w:spacing w:after="120"/>
        <w:jc w:val="both"/>
        <w:rPr>
          <w:szCs w:val="24"/>
        </w:rPr>
      </w:pPr>
      <w:r>
        <w:rPr>
          <w:szCs w:val="24"/>
        </w:rPr>
        <w:t xml:space="preserve">answers to questions on notice and supplementary questions are to be published, subject to the Committee Clerk checking for confidentiality and adverse mention and, where those issues arise, bringing them to the attention of the committee for consideration, and </w:t>
      </w:r>
    </w:p>
    <w:p w14:paraId="05D0A4D7" w14:textId="77777777" w:rsidR="00C60BBE" w:rsidRDefault="00C60BBE" w:rsidP="00C60BBE">
      <w:pPr>
        <w:pStyle w:val="AppxMinutesNum2"/>
        <w:numPr>
          <w:ilvl w:val="3"/>
          <w:numId w:val="38"/>
        </w:numPr>
        <w:spacing w:after="120"/>
        <w:jc w:val="both"/>
        <w:rPr>
          <w:szCs w:val="24"/>
        </w:rPr>
      </w:pPr>
      <w:r>
        <w:rPr>
          <w:szCs w:val="24"/>
        </w:rPr>
        <w:t xml:space="preserve">media statements on behalf of the committee are to be made only by the Chair. </w:t>
      </w:r>
    </w:p>
    <w:p w14:paraId="30507A6A" w14:textId="77777777" w:rsidR="00C60BBE" w:rsidRDefault="00C60BBE" w:rsidP="00C60BBE">
      <w:pPr>
        <w:pStyle w:val="AppxMinutesNum1"/>
        <w:numPr>
          <w:ilvl w:val="2"/>
          <w:numId w:val="38"/>
        </w:numPr>
        <w:tabs>
          <w:tab w:val="clear" w:pos="851"/>
          <w:tab w:val="left" w:pos="720"/>
          <w:tab w:val="num" w:pos="2552"/>
        </w:tabs>
        <w:spacing w:after="120"/>
        <w:ind w:left="993" w:hanging="426"/>
        <w:jc w:val="both"/>
        <w:rPr>
          <w:szCs w:val="24"/>
        </w:rPr>
      </w:pPr>
      <w:r>
        <w:rPr>
          <w:szCs w:val="24"/>
        </w:rPr>
        <w:t xml:space="preserve"> That a message be sent acquainting the Legislative Assembly with the resolution and requesting the Legislative Assembly appoint five of its members to serve on the committee including appointing a Deputy Chair.</w:t>
      </w:r>
    </w:p>
    <w:p w14:paraId="1A74F1BA" w14:textId="77777777" w:rsidR="00C60BBE" w:rsidRDefault="00C60BBE" w:rsidP="00C60BBE">
      <w:pPr>
        <w:pStyle w:val="AppxMinutesHeadingOne"/>
        <w:numPr>
          <w:ilvl w:val="0"/>
          <w:numId w:val="38"/>
        </w:numPr>
        <w:jc w:val="both"/>
        <w:rPr>
          <w:szCs w:val="24"/>
        </w:rPr>
      </w:pPr>
      <w:r>
        <w:rPr>
          <w:szCs w:val="24"/>
        </w:rPr>
        <w:t xml:space="preserve">Conduct of committee proceedings </w:t>
      </w:r>
    </w:p>
    <w:p w14:paraId="136A2F69" w14:textId="77777777" w:rsidR="00C60BBE" w:rsidRDefault="00C60BBE" w:rsidP="00C60BBE">
      <w:pPr>
        <w:pStyle w:val="AppxMinutesBody"/>
        <w:rPr>
          <w:b/>
          <w:szCs w:val="24"/>
        </w:rPr>
      </w:pPr>
      <w:r>
        <w:t xml:space="preserve">The committee noted the </w:t>
      </w:r>
      <w:r>
        <w:rPr>
          <w:szCs w:val="24"/>
        </w:rPr>
        <w:t>Broadcast of Proceedings resolution (as amended by the Legislative Council on 19 October 2022), in particular the provisions relating to the filming, broadcasting, rebroadcasting and photography of committee proceedings, including:</w:t>
      </w:r>
    </w:p>
    <w:p w14:paraId="6BA98384" w14:textId="77777777" w:rsidR="00C60BBE" w:rsidRDefault="00C60BBE" w:rsidP="004C0AB0">
      <w:pPr>
        <w:pStyle w:val="AppxMinutesHeadingOne"/>
        <w:numPr>
          <w:ilvl w:val="0"/>
          <w:numId w:val="0"/>
        </w:numPr>
        <w:tabs>
          <w:tab w:val="left" w:pos="720"/>
        </w:tabs>
        <w:ind w:left="720"/>
        <w:jc w:val="both"/>
        <w:rPr>
          <w:b w:val="0"/>
          <w:bCs/>
          <w:szCs w:val="24"/>
        </w:rPr>
      </w:pPr>
      <w:r>
        <w:rPr>
          <w:b w:val="0"/>
          <w:bCs/>
          <w:szCs w:val="24"/>
        </w:rPr>
        <w:t xml:space="preserve">(4) That unless resolved otherwise by a committee, this House authorises: </w:t>
      </w:r>
    </w:p>
    <w:p w14:paraId="61275DE1" w14:textId="77777777" w:rsidR="00C60BBE" w:rsidRDefault="00C60BBE" w:rsidP="00C60BBE">
      <w:pPr>
        <w:pStyle w:val="AppxMinutesBody"/>
        <w:ind w:left="1440"/>
        <w:rPr>
          <w:szCs w:val="24"/>
        </w:rPr>
      </w:pPr>
      <w:r>
        <w:rPr>
          <w:szCs w:val="24"/>
        </w:rPr>
        <w:t>(a) the filming, broadcasting and photography of members and witnesses in committee proceedings:</w:t>
      </w:r>
    </w:p>
    <w:p w14:paraId="3E49758D" w14:textId="77777777" w:rsidR="00C60BBE" w:rsidRDefault="00C60BBE" w:rsidP="007232F6">
      <w:pPr>
        <w:pStyle w:val="AppxMinutesBody"/>
        <w:ind w:left="2410" w:hanging="283"/>
        <w:rPr>
          <w:szCs w:val="24"/>
        </w:rPr>
      </w:pPr>
      <w:r>
        <w:rPr>
          <w:szCs w:val="24"/>
        </w:rPr>
        <w:t xml:space="preserve"> (</w:t>
      </w:r>
      <w:proofErr w:type="spellStart"/>
      <w:r>
        <w:rPr>
          <w:szCs w:val="24"/>
        </w:rPr>
        <w:t>i</w:t>
      </w:r>
      <w:proofErr w:type="spellEnd"/>
      <w:r>
        <w:rPr>
          <w:szCs w:val="24"/>
        </w:rPr>
        <w:t xml:space="preserve">) by representatives of media organisations, including from around the committee meeting table, </w:t>
      </w:r>
    </w:p>
    <w:p w14:paraId="232F82E2" w14:textId="77777777" w:rsidR="00C60BBE" w:rsidRDefault="00C60BBE" w:rsidP="00C60BBE">
      <w:pPr>
        <w:pStyle w:val="AppxMinutesBody"/>
        <w:ind w:left="171" w:firstLine="153"/>
        <w:rPr>
          <w:b/>
          <w:szCs w:val="24"/>
        </w:rPr>
      </w:pPr>
      <w:r>
        <w:rPr>
          <w:szCs w:val="24"/>
        </w:rPr>
        <w:tab/>
      </w:r>
      <w:r>
        <w:rPr>
          <w:szCs w:val="24"/>
        </w:rPr>
        <w:tab/>
      </w:r>
      <w:r>
        <w:rPr>
          <w:szCs w:val="24"/>
        </w:rPr>
        <w:tab/>
        <w:t>(ii) by any member of the public, from the position of the audience, and</w:t>
      </w:r>
    </w:p>
    <w:p w14:paraId="70BCD7B7" w14:textId="77777777" w:rsidR="00C60BBE" w:rsidRDefault="00C60BBE" w:rsidP="00C60BBE">
      <w:pPr>
        <w:pStyle w:val="AppxMinutesBody"/>
        <w:ind w:left="1440"/>
        <w:rPr>
          <w:szCs w:val="24"/>
        </w:rPr>
      </w:pPr>
      <w:r>
        <w:rPr>
          <w:szCs w:val="24"/>
        </w:rPr>
        <w:t>(b) the rebroadcasting of committee proceedings on the Legislative Council and Parliament's social media channels.</w:t>
      </w:r>
    </w:p>
    <w:p w14:paraId="17AC697D" w14:textId="77777777" w:rsidR="00C60BBE" w:rsidRDefault="00C60BBE" w:rsidP="00C60BBE">
      <w:pPr>
        <w:pStyle w:val="AppxMinutesHeadingOne"/>
        <w:numPr>
          <w:ilvl w:val="0"/>
          <w:numId w:val="38"/>
        </w:numPr>
        <w:rPr>
          <w:szCs w:val="24"/>
        </w:rPr>
      </w:pPr>
      <w:r>
        <w:rPr>
          <w:szCs w:val="24"/>
        </w:rPr>
        <w:t>Publication of minutes of first meeting</w:t>
      </w:r>
    </w:p>
    <w:p w14:paraId="4C57AA5D" w14:textId="77777777" w:rsidR="00C60BBE" w:rsidRDefault="00C60BBE" w:rsidP="00C60BBE">
      <w:pPr>
        <w:pStyle w:val="AppxMinutesBody"/>
      </w:pPr>
      <w:r>
        <w:t>Resolved, on the motion of Mr Murphy: That the committee publish the minutes of the first meeting on the committee's webpage, subject to the draft minutes being circulated to members.</w:t>
      </w:r>
    </w:p>
    <w:p w14:paraId="5A2F9656" w14:textId="77777777" w:rsidR="00C60BBE" w:rsidRDefault="00C60BBE" w:rsidP="00C60BBE">
      <w:pPr>
        <w:pStyle w:val="AppxMinutesHeadingOne"/>
        <w:numPr>
          <w:ilvl w:val="0"/>
          <w:numId w:val="38"/>
        </w:numPr>
        <w:rPr>
          <w:szCs w:val="24"/>
        </w:rPr>
      </w:pPr>
      <w:r>
        <w:rPr>
          <w:szCs w:val="24"/>
        </w:rPr>
        <w:t xml:space="preserve">Net Zero Commission </w:t>
      </w:r>
    </w:p>
    <w:p w14:paraId="6EA7584D" w14:textId="77777777" w:rsidR="00C60BBE" w:rsidRDefault="00C60BBE" w:rsidP="00C60BBE">
      <w:pPr>
        <w:pStyle w:val="AppxMinutesBody"/>
      </w:pPr>
      <w:r>
        <w:lastRenderedPageBreak/>
        <w:t>Resolved, on the motion of Mr Buttigieg: That the committee meet with Dr Paul Grimes PSM, Chair of the Net Zero Commission, and any other commissioners that would like to attend, for an informal briefing, on a date to be fixed by email.</w:t>
      </w:r>
    </w:p>
    <w:p w14:paraId="24F373DE" w14:textId="77777777" w:rsidR="00C60BBE" w:rsidRDefault="00C60BBE" w:rsidP="00C60BBE">
      <w:pPr>
        <w:pStyle w:val="AppxMinutesHeadingOne"/>
        <w:numPr>
          <w:ilvl w:val="0"/>
          <w:numId w:val="38"/>
        </w:numPr>
        <w:rPr>
          <w:szCs w:val="24"/>
        </w:rPr>
      </w:pPr>
      <w:r>
        <w:rPr>
          <w:szCs w:val="24"/>
        </w:rPr>
        <w:t>Adjournment</w:t>
      </w:r>
    </w:p>
    <w:p w14:paraId="2AB0C2B9" w14:textId="77777777" w:rsidR="00C60BBE" w:rsidRDefault="00C60BBE" w:rsidP="00C60BBE">
      <w:pPr>
        <w:pStyle w:val="AppxMinutesBody"/>
        <w:rPr>
          <w:i/>
          <w:iCs/>
          <w:szCs w:val="24"/>
        </w:rPr>
      </w:pPr>
      <w:r>
        <w:rPr>
          <w:szCs w:val="24"/>
        </w:rPr>
        <w:t xml:space="preserve">The committee adjourned at 12.10 pm, </w:t>
      </w:r>
      <w:r>
        <w:rPr>
          <w:i/>
          <w:iCs/>
          <w:szCs w:val="24"/>
        </w:rPr>
        <w:t>sine die.</w:t>
      </w:r>
    </w:p>
    <w:p w14:paraId="5A2AFA17" w14:textId="77777777" w:rsidR="00C60BBE" w:rsidRDefault="00C60BBE" w:rsidP="00C60BBE">
      <w:pPr>
        <w:pStyle w:val="AppxMinutesBodySingle"/>
        <w:ind w:left="0"/>
        <w:rPr>
          <w:szCs w:val="24"/>
        </w:rPr>
      </w:pPr>
    </w:p>
    <w:p w14:paraId="3DC917C0" w14:textId="77777777" w:rsidR="00C60BBE" w:rsidRDefault="00C60BBE" w:rsidP="00C60BBE">
      <w:pPr>
        <w:pStyle w:val="AppxMinutesBodySingle"/>
        <w:ind w:left="0"/>
        <w:rPr>
          <w:szCs w:val="24"/>
        </w:rPr>
      </w:pPr>
      <w:r>
        <w:rPr>
          <w:szCs w:val="24"/>
        </w:rPr>
        <w:t>Talina Drabsch</w:t>
      </w:r>
    </w:p>
    <w:p w14:paraId="66A100F5" w14:textId="77777777" w:rsidR="00C60BBE" w:rsidRDefault="00C60BBE" w:rsidP="00C60BBE">
      <w:pPr>
        <w:pStyle w:val="AppxMinutesBodyBold"/>
        <w:ind w:left="0"/>
        <w:rPr>
          <w:szCs w:val="24"/>
        </w:rPr>
      </w:pPr>
      <w:r>
        <w:rPr>
          <w:szCs w:val="24"/>
        </w:rPr>
        <w:t>Committee Clerk</w:t>
      </w:r>
    </w:p>
    <w:p w14:paraId="49AE9989" w14:textId="77777777" w:rsidR="00C60BBE" w:rsidRDefault="00C60BBE" w:rsidP="00C60BBE">
      <w:pPr>
        <w:pStyle w:val="AppxMinutesInfo"/>
      </w:pPr>
    </w:p>
    <w:p w14:paraId="4A44F123" w14:textId="77777777" w:rsidR="00C60BBE" w:rsidRDefault="00C60BBE" w:rsidP="00C60BBE">
      <w:pPr>
        <w:rPr>
          <w:lang w:val="en-US"/>
        </w:rPr>
      </w:pPr>
    </w:p>
    <w:p w14:paraId="51E3B9C9" w14:textId="77777777" w:rsidR="00C60BBE" w:rsidRDefault="00C60BBE" w:rsidP="00C60BBE">
      <w:pPr>
        <w:pStyle w:val="AppxMinutesTitle"/>
      </w:pPr>
      <w:r>
        <w:t>Minutes no. 2</w:t>
      </w:r>
    </w:p>
    <w:p w14:paraId="285B2757" w14:textId="77777777" w:rsidR="00C60BBE" w:rsidRDefault="00C60BBE" w:rsidP="00C60BBE">
      <w:pPr>
        <w:pStyle w:val="AppxMinutesInfo"/>
        <w:rPr>
          <w:szCs w:val="24"/>
        </w:rPr>
      </w:pPr>
      <w:r>
        <w:rPr>
          <w:szCs w:val="24"/>
        </w:rPr>
        <w:t>Monday 14 October 2024</w:t>
      </w:r>
    </w:p>
    <w:p w14:paraId="4C010DD8" w14:textId="77777777" w:rsidR="00C60BBE" w:rsidRDefault="00C60BBE" w:rsidP="00C60BBE">
      <w:pPr>
        <w:pStyle w:val="AppxMinutesInfo"/>
        <w:rPr>
          <w:szCs w:val="24"/>
        </w:rPr>
      </w:pPr>
      <w:r>
        <w:rPr>
          <w:szCs w:val="24"/>
        </w:rPr>
        <w:t>Joint Standing Committee on Net Zero Future</w:t>
      </w:r>
    </w:p>
    <w:p w14:paraId="5F7CFE1E" w14:textId="77777777" w:rsidR="00C60BBE" w:rsidRDefault="00C60BBE" w:rsidP="00C60BBE">
      <w:pPr>
        <w:pStyle w:val="AppxMinutesInfo"/>
        <w:rPr>
          <w:szCs w:val="24"/>
        </w:rPr>
      </w:pPr>
      <w:r>
        <w:rPr>
          <w:szCs w:val="24"/>
        </w:rPr>
        <w:t>Room 814, Parliament House, Sydney, 1.05 pm</w:t>
      </w:r>
    </w:p>
    <w:p w14:paraId="592DBF41" w14:textId="77777777" w:rsidR="00C60BBE" w:rsidRPr="00B56D73" w:rsidRDefault="00C60BBE" w:rsidP="00B56D73">
      <w:pPr>
        <w:pStyle w:val="AppxMinutesHeadingOne"/>
        <w:numPr>
          <w:ilvl w:val="0"/>
          <w:numId w:val="43"/>
        </w:numPr>
        <w:rPr>
          <w:szCs w:val="24"/>
        </w:rPr>
      </w:pPr>
      <w:r w:rsidRPr="00B56D73">
        <w:rPr>
          <w:szCs w:val="24"/>
        </w:rPr>
        <w:t>Members present</w:t>
      </w:r>
    </w:p>
    <w:p w14:paraId="4B0F1234" w14:textId="77777777" w:rsidR="00C60BBE" w:rsidRDefault="00C60BBE" w:rsidP="00C60BBE">
      <w:pPr>
        <w:pStyle w:val="AppxMinutesBodySingle"/>
      </w:pPr>
      <w:r>
        <w:t xml:space="preserve">Mr Buckingham, </w:t>
      </w:r>
      <w:r>
        <w:rPr>
          <w:i/>
          <w:iCs/>
        </w:rPr>
        <w:t>Chair</w:t>
      </w:r>
    </w:p>
    <w:p w14:paraId="1C3A3CD2" w14:textId="77777777" w:rsidR="00C60BBE" w:rsidRDefault="00C60BBE" w:rsidP="00C60BBE">
      <w:pPr>
        <w:pStyle w:val="AppxMinutesBodySingle"/>
      </w:pPr>
      <w:r>
        <w:t xml:space="preserve">Ms Butler, </w:t>
      </w:r>
      <w:r>
        <w:rPr>
          <w:i/>
          <w:iCs/>
        </w:rPr>
        <w:t>Deputy</w:t>
      </w:r>
      <w:r>
        <w:t xml:space="preserve"> </w:t>
      </w:r>
      <w:r>
        <w:rPr>
          <w:i/>
          <w:iCs/>
        </w:rPr>
        <w:t>Chair</w:t>
      </w:r>
      <w:r>
        <w:t xml:space="preserve"> (via videoconference)</w:t>
      </w:r>
    </w:p>
    <w:p w14:paraId="013BF54C" w14:textId="77777777" w:rsidR="00C60BBE" w:rsidRDefault="00C60BBE" w:rsidP="00C60BBE">
      <w:pPr>
        <w:pStyle w:val="AppxMinutesBodySingle"/>
      </w:pPr>
      <w:r>
        <w:t>Mr Buttigieg (via videoconference)</w:t>
      </w:r>
    </w:p>
    <w:p w14:paraId="743E1024" w14:textId="77777777" w:rsidR="00C60BBE" w:rsidRDefault="00C60BBE" w:rsidP="00C60BBE">
      <w:pPr>
        <w:pStyle w:val="AppxMinutesBodySingle"/>
      </w:pPr>
      <w:r>
        <w:t>Mr Fang (via videoconference from 1.09 pm)</w:t>
      </w:r>
    </w:p>
    <w:p w14:paraId="0BFE2361" w14:textId="77777777" w:rsidR="00C60BBE" w:rsidRDefault="00C60BBE" w:rsidP="00C60BBE">
      <w:pPr>
        <w:pStyle w:val="AppxMinutesBodySingle"/>
      </w:pPr>
      <w:r>
        <w:t>Ms Higginson</w:t>
      </w:r>
    </w:p>
    <w:p w14:paraId="2F9FE747" w14:textId="77777777" w:rsidR="00C60BBE" w:rsidRDefault="00C60BBE" w:rsidP="00C60BBE">
      <w:pPr>
        <w:pStyle w:val="AppxMinutesBodySingle"/>
      </w:pPr>
      <w:r>
        <w:t>Ms Munro</w:t>
      </w:r>
    </w:p>
    <w:p w14:paraId="24785A9F" w14:textId="77777777" w:rsidR="00C60BBE" w:rsidRDefault="00C60BBE" w:rsidP="00C60BBE">
      <w:pPr>
        <w:pStyle w:val="AppxMinutesBodySingle"/>
      </w:pPr>
      <w:r>
        <w:t>Mr Murphy</w:t>
      </w:r>
    </w:p>
    <w:p w14:paraId="383958B5" w14:textId="77777777" w:rsidR="00C60BBE" w:rsidRDefault="00C60BBE" w:rsidP="00C60BBE">
      <w:pPr>
        <w:pStyle w:val="AppxMinutesBodySingle"/>
      </w:pPr>
      <w:r>
        <w:t>Mr Regan (via videoconference)</w:t>
      </w:r>
    </w:p>
    <w:p w14:paraId="0B0CF485" w14:textId="77777777" w:rsidR="00C60BBE" w:rsidRDefault="00C60BBE" w:rsidP="00C60BBE">
      <w:pPr>
        <w:pStyle w:val="AppxMinutesBodySingle"/>
      </w:pPr>
      <w:r>
        <w:t>Ms Suvaal (via videoconference until 1.23 pm)</w:t>
      </w:r>
    </w:p>
    <w:p w14:paraId="0B0D40DA" w14:textId="77777777" w:rsidR="00C60BBE" w:rsidRDefault="00C60BBE" w:rsidP="00C60BBE">
      <w:pPr>
        <w:pStyle w:val="AppxMinutesBodySingle"/>
      </w:pPr>
      <w:r>
        <w:t>Ms Tesch (via videoconference from 1.09 pm)</w:t>
      </w:r>
    </w:p>
    <w:p w14:paraId="167D96F5" w14:textId="77777777" w:rsidR="00C60BBE" w:rsidRDefault="00C60BBE" w:rsidP="00C60BBE">
      <w:pPr>
        <w:pStyle w:val="AppxMinutesHeadingOne"/>
        <w:numPr>
          <w:ilvl w:val="0"/>
          <w:numId w:val="38"/>
        </w:numPr>
        <w:rPr>
          <w:szCs w:val="24"/>
        </w:rPr>
      </w:pPr>
      <w:r>
        <w:rPr>
          <w:szCs w:val="24"/>
        </w:rPr>
        <w:t>Apologies</w:t>
      </w:r>
    </w:p>
    <w:p w14:paraId="6B14EB79" w14:textId="77777777" w:rsidR="00C60BBE" w:rsidRDefault="00C60BBE" w:rsidP="00C60BBE">
      <w:pPr>
        <w:pStyle w:val="AppxMinutesBody"/>
      </w:pPr>
      <w:r>
        <w:t>Mr Griffin</w:t>
      </w:r>
    </w:p>
    <w:p w14:paraId="1C9A832F" w14:textId="77777777" w:rsidR="00C60BBE" w:rsidRDefault="00C60BBE" w:rsidP="00C60BBE">
      <w:pPr>
        <w:pStyle w:val="AppxMinutesHeadingOne"/>
        <w:numPr>
          <w:ilvl w:val="0"/>
          <w:numId w:val="38"/>
        </w:numPr>
        <w:rPr>
          <w:szCs w:val="24"/>
        </w:rPr>
      </w:pPr>
      <w:r>
        <w:rPr>
          <w:szCs w:val="24"/>
        </w:rPr>
        <w:t>Draft minutes</w:t>
      </w:r>
    </w:p>
    <w:p w14:paraId="6EA77039" w14:textId="77777777" w:rsidR="00C60BBE" w:rsidRDefault="00C60BBE" w:rsidP="00C60BBE">
      <w:pPr>
        <w:pStyle w:val="AppxMinutesBody"/>
      </w:pPr>
      <w:r>
        <w:t>The committee noted that draft minutes no. 1 were confirmed via email on 6 August 2024, as per a previous resolution of the committee.</w:t>
      </w:r>
    </w:p>
    <w:p w14:paraId="288925DB" w14:textId="77777777" w:rsidR="00C60BBE" w:rsidRDefault="00C60BBE" w:rsidP="00C60BBE">
      <w:pPr>
        <w:pStyle w:val="AppxMinutesHeadingOne"/>
        <w:numPr>
          <w:ilvl w:val="0"/>
          <w:numId w:val="38"/>
        </w:numPr>
        <w:rPr>
          <w:szCs w:val="24"/>
        </w:rPr>
      </w:pPr>
      <w:r>
        <w:rPr>
          <w:szCs w:val="24"/>
        </w:rPr>
        <w:t>Correspondence</w:t>
      </w:r>
    </w:p>
    <w:p w14:paraId="307E12CF" w14:textId="77777777" w:rsidR="00C60BBE" w:rsidRDefault="00C60BBE" w:rsidP="00C60BBE">
      <w:pPr>
        <w:pStyle w:val="AppxMinutesBody"/>
      </w:pPr>
      <w:r>
        <w:t>The committee noted the following items of correspondence:</w:t>
      </w:r>
    </w:p>
    <w:p w14:paraId="6FA45747" w14:textId="77777777" w:rsidR="00C60BBE" w:rsidRDefault="00C60BBE" w:rsidP="00C60BBE">
      <w:pPr>
        <w:pStyle w:val="AppxMinutesSubHeading"/>
        <w:rPr>
          <w:b w:val="0"/>
          <w:i w:val="0"/>
        </w:rPr>
      </w:pPr>
      <w:r>
        <w:t>Received:</w:t>
      </w:r>
    </w:p>
    <w:p w14:paraId="0EB534F5" w14:textId="77777777" w:rsidR="00C60BBE" w:rsidRDefault="00C60BBE" w:rsidP="00C60BBE">
      <w:pPr>
        <w:pStyle w:val="AppxMinutesBullet"/>
      </w:pPr>
      <w:r>
        <w:t>23 August 2024 - Email from Ms Alberta McAteer, Principal Advisor – Secretariat and Stakeholder engagement Net Zero Commission, confirming that Dr Grimes and Ms Meg McDonald would both be available to attend the briefing on Monday 14 October 2024</w:t>
      </w:r>
    </w:p>
    <w:p w14:paraId="58BD5FB6" w14:textId="77777777" w:rsidR="00C60BBE" w:rsidRDefault="00C60BBE" w:rsidP="00C60BBE">
      <w:pPr>
        <w:pStyle w:val="AppxMinutesBullet"/>
      </w:pPr>
      <w:r>
        <w:t xml:space="preserve">20 September 2024 - Email from Ms Alberta McAteer, Principal Advisor – Secretariat and Stakeholder engagement Net Zero Commission, confirming that Commissioners Ms Maria Atkinson and Katerina </w:t>
      </w:r>
      <w:proofErr w:type="spellStart"/>
      <w:r>
        <w:t>Kimmorley</w:t>
      </w:r>
      <w:proofErr w:type="spellEnd"/>
      <w:r>
        <w:t xml:space="preserve"> will also attend the briefing on Monday 14 October 2024</w:t>
      </w:r>
    </w:p>
    <w:p w14:paraId="740DB89C" w14:textId="77777777" w:rsidR="00C60BBE" w:rsidRDefault="00C60BBE" w:rsidP="00C60BBE">
      <w:pPr>
        <w:pStyle w:val="AppxMinutesSubHeading"/>
        <w:rPr>
          <w:b w:val="0"/>
          <w:i w:val="0"/>
        </w:rPr>
      </w:pPr>
      <w:r>
        <w:t>Sent:</w:t>
      </w:r>
    </w:p>
    <w:p w14:paraId="4D701D4D" w14:textId="77777777" w:rsidR="00C60BBE" w:rsidRDefault="00C60BBE" w:rsidP="00C60BBE">
      <w:pPr>
        <w:pStyle w:val="AppxMinutesBullet"/>
      </w:pPr>
      <w:r>
        <w:t>23 August 2024 - Letter from Chair to Dr Grimes, Chair of the Net Zero Commission inviting the Net Zero Commission to attend an informal briefing.</w:t>
      </w:r>
    </w:p>
    <w:p w14:paraId="6120EAB6" w14:textId="77777777" w:rsidR="00C60BBE" w:rsidRDefault="00C60BBE" w:rsidP="00C60BBE">
      <w:pPr>
        <w:pStyle w:val="AppxMinutesHeadingOne"/>
        <w:numPr>
          <w:ilvl w:val="0"/>
          <w:numId w:val="38"/>
        </w:numPr>
        <w:rPr>
          <w:szCs w:val="24"/>
        </w:rPr>
      </w:pPr>
      <w:r>
        <w:rPr>
          <w:szCs w:val="24"/>
        </w:rPr>
        <w:t>Net Zero Commission – private briefing</w:t>
      </w:r>
    </w:p>
    <w:p w14:paraId="46D93CDB" w14:textId="77777777" w:rsidR="00C60BBE" w:rsidRDefault="00C60BBE" w:rsidP="00C60BBE">
      <w:pPr>
        <w:pStyle w:val="AppxMinutesBody"/>
      </w:pPr>
      <w:r>
        <w:t>The following members of the Net Zero Commission provided a private briefing on the establishment of the Net Zero Commission and its initial work, both currently underway and planned:</w:t>
      </w:r>
    </w:p>
    <w:p w14:paraId="17007740" w14:textId="77777777" w:rsidR="00C60BBE" w:rsidRDefault="00C60BBE" w:rsidP="00C60BBE">
      <w:pPr>
        <w:pStyle w:val="AppxMinutesBullet"/>
      </w:pPr>
      <w:r>
        <w:lastRenderedPageBreak/>
        <w:t>Dr Paul Grimes PSM, Chair</w:t>
      </w:r>
    </w:p>
    <w:p w14:paraId="07EB95FD" w14:textId="77777777" w:rsidR="00C60BBE" w:rsidRDefault="00C60BBE" w:rsidP="00C60BBE">
      <w:pPr>
        <w:pStyle w:val="AppxMinutesBullet"/>
      </w:pPr>
      <w:r>
        <w:t>Mr Oliver Costello, Commissioner</w:t>
      </w:r>
    </w:p>
    <w:p w14:paraId="73E5C62D" w14:textId="77777777" w:rsidR="00C60BBE" w:rsidRDefault="00C60BBE" w:rsidP="00C60BBE">
      <w:pPr>
        <w:pStyle w:val="AppxMinutesBullet"/>
      </w:pPr>
      <w:r>
        <w:t xml:space="preserve">Ms Katerina </w:t>
      </w:r>
      <w:proofErr w:type="spellStart"/>
      <w:r>
        <w:t>Kimmorley</w:t>
      </w:r>
      <w:proofErr w:type="spellEnd"/>
      <w:r>
        <w:t>, Commissioner</w:t>
      </w:r>
    </w:p>
    <w:p w14:paraId="50F0A030" w14:textId="77777777" w:rsidR="00C60BBE" w:rsidRDefault="00C60BBE" w:rsidP="00C60BBE">
      <w:pPr>
        <w:pStyle w:val="AppxMinutesBullet"/>
      </w:pPr>
      <w:r>
        <w:t xml:space="preserve">Professor Hugh </w:t>
      </w:r>
      <w:proofErr w:type="spellStart"/>
      <w:r>
        <w:t>Durrant</w:t>
      </w:r>
      <w:proofErr w:type="spellEnd"/>
      <w:r>
        <w:t>-Whyte, Commissioner and NSW Chief Scientist and Engineer</w:t>
      </w:r>
    </w:p>
    <w:p w14:paraId="3A3E2462" w14:textId="77777777" w:rsidR="00C60BBE" w:rsidRDefault="00C60BBE" w:rsidP="00C60BBE">
      <w:pPr>
        <w:pStyle w:val="AppxMinutesBullet"/>
      </w:pPr>
      <w:r>
        <w:t>Professor Andrew Pitman AO, Commissioner.</w:t>
      </w:r>
    </w:p>
    <w:p w14:paraId="7D06A05C" w14:textId="77777777" w:rsidR="00C60BBE" w:rsidRDefault="00C60BBE" w:rsidP="00C60BBE">
      <w:pPr>
        <w:pStyle w:val="AppxMinutesHeadingOne"/>
        <w:numPr>
          <w:ilvl w:val="0"/>
          <w:numId w:val="38"/>
        </w:numPr>
        <w:rPr>
          <w:szCs w:val="24"/>
        </w:rPr>
      </w:pPr>
      <w:r>
        <w:rPr>
          <w:szCs w:val="24"/>
        </w:rPr>
        <w:t>Adjournment</w:t>
      </w:r>
    </w:p>
    <w:p w14:paraId="0242E4AF" w14:textId="77777777" w:rsidR="00C60BBE" w:rsidRDefault="00C60BBE" w:rsidP="00C60BBE">
      <w:pPr>
        <w:pStyle w:val="AppxMinutesBody"/>
        <w:rPr>
          <w:i/>
          <w:iCs/>
          <w:szCs w:val="24"/>
        </w:rPr>
      </w:pPr>
      <w:r>
        <w:rPr>
          <w:szCs w:val="24"/>
        </w:rPr>
        <w:t xml:space="preserve">The committee adjourned at 1.50 pm, </w:t>
      </w:r>
      <w:r>
        <w:rPr>
          <w:i/>
          <w:iCs/>
          <w:szCs w:val="24"/>
        </w:rPr>
        <w:t>sine die.</w:t>
      </w:r>
    </w:p>
    <w:p w14:paraId="5B4BB968" w14:textId="77777777" w:rsidR="00C60BBE" w:rsidRDefault="00C60BBE" w:rsidP="00C60BBE">
      <w:pPr>
        <w:pStyle w:val="AppxMinutesBodySingle"/>
        <w:ind w:left="0"/>
        <w:rPr>
          <w:szCs w:val="24"/>
        </w:rPr>
      </w:pPr>
    </w:p>
    <w:p w14:paraId="0314AE98" w14:textId="77777777" w:rsidR="00C60BBE" w:rsidRDefault="00C60BBE" w:rsidP="00C60BBE">
      <w:pPr>
        <w:pStyle w:val="AppxMinutesBodySingle"/>
        <w:ind w:left="0"/>
        <w:rPr>
          <w:szCs w:val="24"/>
        </w:rPr>
      </w:pPr>
      <w:r>
        <w:rPr>
          <w:szCs w:val="24"/>
        </w:rPr>
        <w:t>Jessie Halligan</w:t>
      </w:r>
    </w:p>
    <w:p w14:paraId="4B7A9F3C" w14:textId="77777777" w:rsidR="00C60BBE" w:rsidRDefault="00C60BBE" w:rsidP="00C60BBE">
      <w:pPr>
        <w:pStyle w:val="AppxMinutesBodyBold"/>
        <w:ind w:left="0"/>
        <w:rPr>
          <w:szCs w:val="24"/>
        </w:rPr>
      </w:pPr>
      <w:r>
        <w:rPr>
          <w:szCs w:val="24"/>
        </w:rPr>
        <w:t>Committee Clerk</w:t>
      </w:r>
    </w:p>
    <w:p w14:paraId="3A3BAC79" w14:textId="77777777" w:rsidR="00C60BBE" w:rsidRDefault="00C60BBE" w:rsidP="00C60BBE">
      <w:pPr>
        <w:pStyle w:val="AppxMinutesInfo"/>
      </w:pPr>
    </w:p>
    <w:p w14:paraId="1E54691D" w14:textId="77777777" w:rsidR="00C60BBE" w:rsidRDefault="00C60BBE" w:rsidP="00C60BBE">
      <w:pPr>
        <w:rPr>
          <w:lang w:val="en-US"/>
        </w:rPr>
      </w:pPr>
    </w:p>
    <w:p w14:paraId="27513822" w14:textId="46F400E7" w:rsidR="00C60BBE" w:rsidRDefault="008E4F6C" w:rsidP="00C60BBE">
      <w:pPr>
        <w:pStyle w:val="AppxMinutesTitle"/>
      </w:pPr>
      <w:r>
        <w:t>M</w:t>
      </w:r>
      <w:r w:rsidR="00C60BBE">
        <w:t>inutes no. 3</w:t>
      </w:r>
    </w:p>
    <w:p w14:paraId="71E32579" w14:textId="77777777" w:rsidR="00C60BBE" w:rsidRDefault="00C60BBE" w:rsidP="00C60BBE">
      <w:pPr>
        <w:pStyle w:val="AgendaDate"/>
        <w:spacing w:after="0"/>
        <w:jc w:val="left"/>
      </w:pPr>
      <w:r>
        <w:t>Friday 14 March 2025</w:t>
      </w:r>
    </w:p>
    <w:p w14:paraId="32218AD8" w14:textId="77777777" w:rsidR="00C60BBE" w:rsidRDefault="00C60BBE" w:rsidP="00C60BBE">
      <w:pPr>
        <w:pStyle w:val="AppxMinutesInfo"/>
        <w:rPr>
          <w:szCs w:val="24"/>
        </w:rPr>
      </w:pPr>
      <w:r>
        <w:rPr>
          <w:szCs w:val="24"/>
        </w:rPr>
        <w:t>Joint Standing Committee on Net Zero Future</w:t>
      </w:r>
    </w:p>
    <w:p w14:paraId="4BD84BEC" w14:textId="77777777" w:rsidR="00C60BBE" w:rsidRDefault="00C60BBE" w:rsidP="00B56D73">
      <w:pPr>
        <w:pStyle w:val="AppxMinutesHeadingOne"/>
        <w:numPr>
          <w:ilvl w:val="0"/>
          <w:numId w:val="0"/>
        </w:numPr>
        <w:tabs>
          <w:tab w:val="left" w:pos="720"/>
        </w:tabs>
        <w:spacing w:before="0"/>
        <w:rPr>
          <w:b w:val="0"/>
          <w:bCs/>
        </w:rPr>
      </w:pPr>
      <w:r>
        <w:rPr>
          <w:b w:val="0"/>
          <w:bCs/>
        </w:rPr>
        <w:t>Jubilee Room, Parliament House, Sydney at 9.01 am</w:t>
      </w:r>
    </w:p>
    <w:p w14:paraId="43E57334" w14:textId="77777777" w:rsidR="00C60BBE" w:rsidRDefault="00C60BBE" w:rsidP="00C60BBE">
      <w:pPr>
        <w:pStyle w:val="AppxMinutesHeadingOne"/>
        <w:numPr>
          <w:ilvl w:val="0"/>
          <w:numId w:val="39"/>
        </w:numPr>
        <w:rPr>
          <w:szCs w:val="24"/>
        </w:rPr>
      </w:pPr>
      <w:r>
        <w:rPr>
          <w:szCs w:val="24"/>
        </w:rPr>
        <w:t>Members present</w:t>
      </w:r>
    </w:p>
    <w:p w14:paraId="54815CE5" w14:textId="77777777" w:rsidR="00C60BBE" w:rsidRDefault="00C60BBE" w:rsidP="00C60BBE">
      <w:pPr>
        <w:pStyle w:val="AppxMinutesBodySingle"/>
      </w:pPr>
      <w:r>
        <w:t xml:space="preserve">Mr Buckingham, </w:t>
      </w:r>
      <w:r>
        <w:rPr>
          <w:i/>
          <w:iCs/>
        </w:rPr>
        <w:t>Chair</w:t>
      </w:r>
    </w:p>
    <w:p w14:paraId="01D59037" w14:textId="77777777" w:rsidR="00C60BBE" w:rsidRDefault="00C60BBE" w:rsidP="00C60BBE">
      <w:pPr>
        <w:pStyle w:val="AppxMinutesBodySingle"/>
      </w:pPr>
      <w:r>
        <w:t xml:space="preserve">Ms Butler, </w:t>
      </w:r>
      <w:r>
        <w:rPr>
          <w:i/>
          <w:iCs/>
        </w:rPr>
        <w:t>Deputy Chair</w:t>
      </w:r>
    </w:p>
    <w:p w14:paraId="790A4B58" w14:textId="77777777" w:rsidR="00C60BBE" w:rsidRDefault="00C60BBE" w:rsidP="00C60BBE">
      <w:pPr>
        <w:pStyle w:val="AppxMinutesBodySingle"/>
      </w:pPr>
      <w:r>
        <w:t>Ms Doyle (via videoconference)</w:t>
      </w:r>
      <w:r>
        <w:rPr>
          <w:i/>
          <w:iCs/>
        </w:rPr>
        <w:t xml:space="preserve"> </w:t>
      </w:r>
      <w:r>
        <w:t>(from 9.11 am)</w:t>
      </w:r>
    </w:p>
    <w:p w14:paraId="1AF9661C" w14:textId="77777777" w:rsidR="00C60BBE" w:rsidRDefault="00C60BBE" w:rsidP="00C60BBE">
      <w:pPr>
        <w:pStyle w:val="AppxMinutesBodySingle"/>
      </w:pPr>
      <w:r>
        <w:t>Ms Higginson (until 12.15 pm, then from 12.31 pm until 12.45 pm, then from 1.52 pm)</w:t>
      </w:r>
    </w:p>
    <w:p w14:paraId="6CCF0361" w14:textId="77777777" w:rsidR="00C60BBE" w:rsidRDefault="00C60BBE" w:rsidP="00C60BBE">
      <w:pPr>
        <w:pStyle w:val="AppxMinutesBodySingle"/>
      </w:pPr>
      <w:r>
        <w:t xml:space="preserve">Dr Kaine (via videoconference) (substituting for Ms Suvaal until 9.08 am, then from 10.53 am to 12.45 pm)  </w:t>
      </w:r>
    </w:p>
    <w:p w14:paraId="5CC19DD1" w14:textId="77777777" w:rsidR="00C60BBE" w:rsidRDefault="00C60BBE" w:rsidP="00C60BBE">
      <w:pPr>
        <w:pStyle w:val="AppxMinutesBodySingle"/>
      </w:pPr>
      <w:r>
        <w:t xml:space="preserve">Mr Nanva (via videoconference) (substituting for Mr Buttigieg until 9.30 am, then substituting for Ms Suvaal from 9.30 am to 10.53 am, then participating from 10.53 am until 11.18 am, and from 2.03 pm to 2.51 pm) </w:t>
      </w:r>
    </w:p>
    <w:p w14:paraId="0AD04541" w14:textId="77777777" w:rsidR="00C60BBE" w:rsidRDefault="00C60BBE" w:rsidP="00C60BBE">
      <w:pPr>
        <w:pStyle w:val="AppxMinutesBodySingle"/>
      </w:pPr>
      <w:r>
        <w:t>Ms Munro (from 9.16 am)</w:t>
      </w:r>
    </w:p>
    <w:p w14:paraId="72FD786C" w14:textId="77777777" w:rsidR="00C60BBE" w:rsidRDefault="00C60BBE" w:rsidP="00C60BBE">
      <w:pPr>
        <w:pStyle w:val="AppxMinutesBodySingle"/>
        <w:rPr>
          <w:i/>
          <w:iCs/>
        </w:rPr>
      </w:pPr>
      <w:r>
        <w:t>Mr Murphy (via videoconference)</w:t>
      </w:r>
    </w:p>
    <w:p w14:paraId="0101AEB7" w14:textId="77777777" w:rsidR="00C60BBE" w:rsidRDefault="00C60BBE" w:rsidP="00C60BBE">
      <w:pPr>
        <w:pStyle w:val="AppxMinutesBodySingle"/>
      </w:pPr>
      <w:r>
        <w:t xml:space="preserve">Ms </w:t>
      </w:r>
      <w:proofErr w:type="spellStart"/>
      <w:r>
        <w:t>Scruby</w:t>
      </w:r>
      <w:proofErr w:type="spellEnd"/>
      <w:r>
        <w:t xml:space="preserve"> (substituting for Mr Regan) </w:t>
      </w:r>
    </w:p>
    <w:p w14:paraId="3898501D" w14:textId="77777777" w:rsidR="00C60BBE" w:rsidRDefault="00C60BBE" w:rsidP="00C60BBE">
      <w:pPr>
        <w:pStyle w:val="AppxMinutesHeadingOne"/>
        <w:numPr>
          <w:ilvl w:val="0"/>
          <w:numId w:val="39"/>
        </w:numPr>
        <w:rPr>
          <w:szCs w:val="24"/>
        </w:rPr>
      </w:pPr>
      <w:r>
        <w:rPr>
          <w:szCs w:val="24"/>
        </w:rPr>
        <w:t>Apologies</w:t>
      </w:r>
    </w:p>
    <w:p w14:paraId="464633C4" w14:textId="77777777" w:rsidR="00C60BBE" w:rsidRDefault="00C60BBE" w:rsidP="00C60BBE">
      <w:pPr>
        <w:pStyle w:val="AppxMinutesBody"/>
      </w:pPr>
      <w:r>
        <w:t xml:space="preserve">Mr Fang </w:t>
      </w:r>
    </w:p>
    <w:p w14:paraId="0E3CB33C" w14:textId="77777777" w:rsidR="00C60BBE" w:rsidRDefault="00C60BBE" w:rsidP="00C60BBE">
      <w:pPr>
        <w:pStyle w:val="AppxMinutesBodySingle"/>
      </w:pPr>
      <w:r>
        <w:t>Mr Griffin</w:t>
      </w:r>
    </w:p>
    <w:p w14:paraId="49B4ADC8" w14:textId="77777777" w:rsidR="00C60BBE" w:rsidRDefault="00C60BBE" w:rsidP="00C60BBE">
      <w:pPr>
        <w:pStyle w:val="AppxMinutesBodySingle"/>
      </w:pPr>
      <w:r>
        <w:t xml:space="preserve">Ms Tesch </w:t>
      </w:r>
    </w:p>
    <w:p w14:paraId="337BB935" w14:textId="77777777" w:rsidR="00C60BBE" w:rsidRDefault="00C60BBE" w:rsidP="00C60BBE">
      <w:pPr>
        <w:pStyle w:val="AppxMinutesHeadingOne"/>
        <w:numPr>
          <w:ilvl w:val="0"/>
          <w:numId w:val="39"/>
        </w:numPr>
        <w:rPr>
          <w:szCs w:val="24"/>
        </w:rPr>
      </w:pPr>
      <w:r>
        <w:rPr>
          <w:szCs w:val="24"/>
        </w:rPr>
        <w:t>Previous minutes</w:t>
      </w:r>
    </w:p>
    <w:p w14:paraId="2C7D0125" w14:textId="77777777" w:rsidR="00C60BBE" w:rsidRDefault="00C60BBE" w:rsidP="00C60BBE">
      <w:pPr>
        <w:pStyle w:val="AppxMinutesBodySingle"/>
        <w:jc w:val="both"/>
      </w:pPr>
      <w:r>
        <w:t xml:space="preserve">Resolved, on the motion of Ms Butler: That draft minutes no. 2 be confirmed. </w:t>
      </w:r>
    </w:p>
    <w:p w14:paraId="52A1A894" w14:textId="77777777" w:rsidR="00C60BBE" w:rsidRDefault="00C60BBE" w:rsidP="00C60BBE">
      <w:pPr>
        <w:pStyle w:val="AppxMinutesHeadingOne"/>
        <w:numPr>
          <w:ilvl w:val="0"/>
          <w:numId w:val="39"/>
        </w:numPr>
        <w:rPr>
          <w:szCs w:val="24"/>
        </w:rPr>
      </w:pPr>
      <w:r>
        <w:rPr>
          <w:szCs w:val="24"/>
        </w:rPr>
        <w:t>Correspondence</w:t>
      </w:r>
    </w:p>
    <w:p w14:paraId="1ECD2230" w14:textId="77777777" w:rsidR="00C60BBE" w:rsidRDefault="00C60BBE" w:rsidP="00C60BBE">
      <w:pPr>
        <w:pStyle w:val="AppxMinutesBody"/>
        <w:rPr>
          <w:szCs w:val="24"/>
        </w:rPr>
      </w:pPr>
      <w:r>
        <w:rPr>
          <w:szCs w:val="24"/>
        </w:rPr>
        <w:t>The committee noted the following items of correspondence:</w:t>
      </w:r>
    </w:p>
    <w:p w14:paraId="3EA55EE8" w14:textId="77777777" w:rsidR="00C60BBE" w:rsidRDefault="00C60BBE" w:rsidP="00C60BBE">
      <w:pPr>
        <w:pStyle w:val="AppxMinutesSubHeading"/>
      </w:pPr>
      <w:r>
        <w:t>Received:</w:t>
      </w:r>
    </w:p>
    <w:p w14:paraId="6936D175" w14:textId="77777777" w:rsidR="00C60BBE" w:rsidRDefault="00C60BBE" w:rsidP="00C60BBE">
      <w:pPr>
        <w:pStyle w:val="AppxMinutesBullet"/>
      </w:pPr>
      <w:r>
        <w:t xml:space="preserve">25 November 2024 – Letter from Hon Penny Sharpe MLC, </w:t>
      </w:r>
      <w:r>
        <w:rPr>
          <w:rStyle w:val="normaltextrun"/>
        </w:rPr>
        <w:t>Minister for Climate Change, Energy, the Environment and Heritage, to Mr David Blunt AM, Clerk of the Legislative Council and Clerk of the Parliaments, advising that the 2024 Annual Report of the Net Zero Commission had been submitted and providing a copy of the report</w:t>
      </w:r>
    </w:p>
    <w:p w14:paraId="770E53E9" w14:textId="77777777" w:rsidR="00C60BBE" w:rsidRDefault="00C60BBE" w:rsidP="00C60BBE">
      <w:pPr>
        <w:pStyle w:val="AppxMinutesBullet"/>
      </w:pPr>
      <w:r>
        <w:t xml:space="preserve">25 November 2024 – Letter from Hon Penny Sharpe MLC, </w:t>
      </w:r>
      <w:r>
        <w:rPr>
          <w:rStyle w:val="normaltextrun"/>
        </w:rPr>
        <w:t xml:space="preserve">Minister for Climate Change, Energy, the Environment and Heritage, to Ms Helen Minnican, Clerk of the Legislative Assembly, advising that the 2024 Annual Report of the Net Zero Commission had been submitted and providing a copy of the report </w:t>
      </w:r>
    </w:p>
    <w:p w14:paraId="7BB60CC0" w14:textId="77777777" w:rsidR="00C60BBE" w:rsidRDefault="00C60BBE" w:rsidP="00C60BBE">
      <w:pPr>
        <w:pStyle w:val="AppxMinutesBullet"/>
      </w:pPr>
      <w:r>
        <w:lastRenderedPageBreak/>
        <w:t xml:space="preserve">13 January 2025 – Email from Luisa De </w:t>
      </w:r>
      <w:proofErr w:type="spellStart"/>
      <w:r>
        <w:t>Liseo</w:t>
      </w:r>
      <w:proofErr w:type="spellEnd"/>
      <w:r>
        <w:t xml:space="preserve">, Principal Advisor, Net Zero Commission, to secretariat, advising that Dr Paul Grimes, Chair of the Net Zero Commission, has a prior commitment on Friday 21 February 2025, but may be able to excuse himself in the afternoon in order to attend the proposed public hearing </w:t>
      </w:r>
    </w:p>
    <w:p w14:paraId="12140C60" w14:textId="77777777" w:rsidR="00C60BBE" w:rsidRDefault="00C60BBE" w:rsidP="00C60BBE">
      <w:pPr>
        <w:pStyle w:val="AppxMinutesBullet"/>
      </w:pPr>
      <w:r>
        <w:t>30 January 2025 – Email from Shamus Tickell, Project Officer, Ministerial and Executive Services, NSW Reconstruction Authority, to secretariat, advising that the authority has considered the terms of reference for the inquiry and will not be making a submission (</w:t>
      </w:r>
      <w:r>
        <w:rPr>
          <w:i/>
          <w:iCs/>
        </w:rPr>
        <w:t>attached</w:t>
      </w:r>
      <w:r>
        <w:t>)</w:t>
      </w:r>
    </w:p>
    <w:p w14:paraId="262B84A3" w14:textId="77777777" w:rsidR="00C60BBE" w:rsidRDefault="00C60BBE" w:rsidP="00C60BBE">
      <w:pPr>
        <w:pStyle w:val="AppxMinutesBullet"/>
      </w:pPr>
      <w:r>
        <w:t xml:space="preserve">11 February 2025 – Email from </w:t>
      </w:r>
      <w:proofErr w:type="spellStart"/>
      <w:r>
        <w:t>Zerene</w:t>
      </w:r>
      <w:proofErr w:type="spellEnd"/>
      <w:r>
        <w:t xml:space="preserve"> </w:t>
      </w:r>
      <w:proofErr w:type="spellStart"/>
      <w:r>
        <w:t>Catacutan</w:t>
      </w:r>
      <w:proofErr w:type="spellEnd"/>
      <w:r>
        <w:t>, Media Advisor, Climate Council, to the secretariat, advising that the Climate Council will not be accepting the invitation to attend the public hearing on 21 March 2025 on this occasion</w:t>
      </w:r>
    </w:p>
    <w:p w14:paraId="6E8C18CF" w14:textId="77777777" w:rsidR="00C60BBE" w:rsidRDefault="00C60BBE" w:rsidP="00C60BBE">
      <w:pPr>
        <w:pStyle w:val="AppxMinutesBullet"/>
      </w:pPr>
      <w:r>
        <w:t xml:space="preserve">11 February 2025 – Email from Paul Stark, Policy and Engagement Officer, Farmers for Climate Action, to secretariat, advising that Farmers for Climate Action will not be accepting the invitation to attend the public hearing on 21 March 2025 due to staffing capacity </w:t>
      </w:r>
    </w:p>
    <w:p w14:paraId="0FA0B4DD" w14:textId="77777777" w:rsidR="00C60BBE" w:rsidRDefault="00C60BBE" w:rsidP="00C60BBE">
      <w:pPr>
        <w:pStyle w:val="AppxMinutesBullet"/>
      </w:pPr>
      <w:r>
        <w:t xml:space="preserve">12 February 2025 – Email from the Kelly </w:t>
      </w:r>
      <w:proofErr w:type="spellStart"/>
      <w:r>
        <w:t>Berghella</w:t>
      </w:r>
      <w:proofErr w:type="spellEnd"/>
      <w:r>
        <w:t xml:space="preserve">, Marketing and Partnerships Manager, Clean Energy Investor Group, to secretariat, advising that the Clean Energy Investor Group will not be accepting the invitation to attend the public hearing on 21 March 2025 due to a clash with another event </w:t>
      </w:r>
    </w:p>
    <w:p w14:paraId="234738E9" w14:textId="77777777" w:rsidR="00C60BBE" w:rsidRDefault="00C60BBE" w:rsidP="00C60BBE">
      <w:pPr>
        <w:pStyle w:val="AppxMinutesBullet"/>
        <w:rPr>
          <w:rFonts w:cs="Arial"/>
          <w:color w:val="002060"/>
          <w:szCs w:val="24"/>
          <w:lang w:eastAsia="en-AU"/>
        </w:rPr>
      </w:pPr>
      <w:r>
        <w:rPr>
          <w:szCs w:val="24"/>
        </w:rPr>
        <w:t xml:space="preserve">12 February 2025 – Correspondence from </w:t>
      </w:r>
      <w:r>
        <w:rPr>
          <w:rFonts w:cs="Arial"/>
          <w:szCs w:val="24"/>
          <w:lang w:eastAsia="en-AU"/>
        </w:rPr>
        <w:t xml:space="preserve">Peter </w:t>
      </w:r>
      <w:proofErr w:type="spellStart"/>
      <w:r>
        <w:rPr>
          <w:rFonts w:cs="Arial"/>
          <w:szCs w:val="24"/>
          <w:lang w:eastAsia="en-AU"/>
        </w:rPr>
        <w:t>Achterstraat</w:t>
      </w:r>
      <w:proofErr w:type="spellEnd"/>
      <w:r>
        <w:rPr>
          <w:rFonts w:cs="Arial"/>
          <w:szCs w:val="24"/>
          <w:lang w:eastAsia="en-AU"/>
        </w:rPr>
        <w:t xml:space="preserve"> AM, NSW Productivity and Equality Commissioner, to Chair, advising of </w:t>
      </w:r>
      <w:r>
        <w:rPr>
          <w:szCs w:val="24"/>
        </w:rPr>
        <w:t xml:space="preserve">the recent report, </w:t>
      </w:r>
      <w:r>
        <w:rPr>
          <w:i/>
          <w:iCs/>
          <w:szCs w:val="24"/>
        </w:rPr>
        <w:t>Ensuring a cost-effective transition,</w:t>
      </w:r>
      <w:r>
        <w:rPr>
          <w:szCs w:val="24"/>
        </w:rPr>
        <w:t xml:space="preserve"> published by the NSW Productivity and Equality Commission </w:t>
      </w:r>
    </w:p>
    <w:p w14:paraId="7E5F0614" w14:textId="77777777" w:rsidR="00C60BBE" w:rsidRDefault="00C60BBE" w:rsidP="00C60BBE">
      <w:pPr>
        <w:pStyle w:val="AppxMinutesBullet"/>
      </w:pPr>
      <w:r>
        <w:t xml:space="preserve">13 February 2025 </w:t>
      </w:r>
      <w:r>
        <w:rPr>
          <w:szCs w:val="24"/>
        </w:rPr>
        <w:t xml:space="preserve">– </w:t>
      </w:r>
      <w:r>
        <w:t>Email from Ange Nichols, Senior Advisor, Climate Change, Insurance Council of Australia, to secretariat, advising that Insurance Council of Australia will not be accepting the invitation to attend the public hearing on 21 March 2025</w:t>
      </w:r>
    </w:p>
    <w:p w14:paraId="1E791964" w14:textId="77777777" w:rsidR="00C60BBE" w:rsidRDefault="00C60BBE" w:rsidP="00C60BBE">
      <w:pPr>
        <w:pStyle w:val="AppxMinutesBullet"/>
      </w:pPr>
      <w:r>
        <w:t>13 February 2025 –</w:t>
      </w:r>
      <w:r>
        <w:rPr>
          <w:i/>
          <w:iCs/>
        </w:rPr>
        <w:t xml:space="preserve"> </w:t>
      </w:r>
      <w:r>
        <w:t xml:space="preserve">Email from the Wentworth Group, to secretariat, advising that the Wentworth Group will not be accepting the invitation to attend the public hearing on 21 March 2025 as relevant members are not available </w:t>
      </w:r>
    </w:p>
    <w:p w14:paraId="26CFC900" w14:textId="77777777" w:rsidR="00C60BBE" w:rsidRDefault="00C60BBE" w:rsidP="00C60BBE">
      <w:pPr>
        <w:pStyle w:val="AppxMinutesBullet"/>
      </w:pPr>
      <w:r>
        <w:t>13 February 2025 –</w:t>
      </w:r>
      <w:r>
        <w:rPr>
          <w:i/>
          <w:iCs/>
        </w:rPr>
        <w:t xml:space="preserve"> </w:t>
      </w:r>
      <w:r>
        <w:t xml:space="preserve">Email from Aman Guar, Head of Legal, Policy and Advocacy, Electric Vehicle Council, to the secretariat, advising that the Electric Vehicle Council will decline the invitation to attend the public hearing on 21 March 2025, due to the limited discussion of electric vehicles in the 2024 Annual Report of the Net Zero Commission </w:t>
      </w:r>
    </w:p>
    <w:p w14:paraId="0C5EDD45" w14:textId="77777777" w:rsidR="00C60BBE" w:rsidRDefault="00C60BBE" w:rsidP="00C60BBE">
      <w:pPr>
        <w:pStyle w:val="AppxMinutesBullet"/>
      </w:pPr>
      <w:r>
        <w:t>14 February 2025 –</w:t>
      </w:r>
      <w:r>
        <w:rPr>
          <w:i/>
          <w:iCs/>
        </w:rPr>
        <w:t xml:space="preserve"> </w:t>
      </w:r>
      <w:r>
        <w:t xml:space="preserve">Email from Courtney Masters, National Operations Manager, Mining and Energy Union, to the secretariat, advising that the Mining and Energy Union will no longer be able to provide a representative to attend the public hearing on 21 March 2025 due to a change in circumstances </w:t>
      </w:r>
    </w:p>
    <w:p w14:paraId="2E5B527F" w14:textId="77777777" w:rsidR="00C60BBE" w:rsidRDefault="00C60BBE" w:rsidP="00C60BBE">
      <w:pPr>
        <w:pStyle w:val="AppxMinutesBullet"/>
        <w:rPr>
          <w:i/>
          <w:iCs/>
        </w:rPr>
      </w:pPr>
      <w:r>
        <w:t>14 February 2025 –</w:t>
      </w:r>
      <w:r>
        <w:rPr>
          <w:i/>
          <w:iCs/>
        </w:rPr>
        <w:t xml:space="preserve"> </w:t>
      </w:r>
      <w:r>
        <w:t xml:space="preserve">Email from Carolyn Inman, Executive Assistant to Peter </w:t>
      </w:r>
      <w:proofErr w:type="spellStart"/>
      <w:r>
        <w:t>Achterstraat</w:t>
      </w:r>
      <w:proofErr w:type="spellEnd"/>
      <w:r>
        <w:t xml:space="preserve"> AM, NSW Productivity &amp; Equality Commissioner, to secretariat, advising that Commissioner is not able to accept the invitation to attend the public hearing on 21 March 2025 on this occasion, but is willing to receive written questions from the Joint Standing Committee regarding the NSW Productivity and Equality Commission’s work on Net Zero, and noting the NSW Productivity and Equality Commission recently released its report, </w:t>
      </w:r>
      <w:r>
        <w:rPr>
          <w:i/>
          <w:iCs/>
          <w:color w:val="21272B"/>
          <w:szCs w:val="24"/>
        </w:rPr>
        <w:t>Ensuring a cost-effective transition</w:t>
      </w:r>
      <w:r>
        <w:t xml:space="preserve">, available on the Commission's website </w:t>
      </w:r>
    </w:p>
    <w:p w14:paraId="00788EFC" w14:textId="77777777" w:rsidR="00C60BBE" w:rsidRDefault="00C60BBE" w:rsidP="00C60BBE">
      <w:pPr>
        <w:pStyle w:val="AppxMinutesBullet"/>
      </w:pPr>
      <w:r>
        <w:t xml:space="preserve">21 February 2025 – Email from Dr Hermoine Parsons, CEO, Australian Logistics Council, to the secretariat, advising that the Australian Logistics Council could appear at a rescheduled hearing </w:t>
      </w:r>
    </w:p>
    <w:p w14:paraId="2C11F98B" w14:textId="77777777" w:rsidR="00C60BBE" w:rsidRDefault="00C60BBE" w:rsidP="00C60BBE">
      <w:pPr>
        <w:pStyle w:val="AppxMinutesBullet"/>
      </w:pPr>
      <w:r>
        <w:t xml:space="preserve">21 February 2025 – Mr Nic Clyde NSW Coordinator, Lock the Gate Alliance, to the secretariat, noting that Lock the Gate Alliance urges the committee to set a new date for the public hearing that was cancelled on 21 March 2025 </w:t>
      </w:r>
    </w:p>
    <w:p w14:paraId="489F127A" w14:textId="77777777" w:rsidR="00C60BBE" w:rsidRDefault="00C60BBE" w:rsidP="00C60BBE">
      <w:pPr>
        <w:pStyle w:val="AppxMinutesBullet"/>
        <w:rPr>
          <w:i/>
          <w:iCs/>
        </w:rPr>
      </w:pPr>
      <w:r>
        <w:t xml:space="preserve">24 February 2025 – Email from Dr Dennys E Angove, Director, Citizen's Climate Lobby Australia, to the secretariat, noting that witnesses could appear at a rescheduled hearing </w:t>
      </w:r>
    </w:p>
    <w:p w14:paraId="1994B484" w14:textId="77777777" w:rsidR="00C60BBE" w:rsidRDefault="00C60BBE" w:rsidP="00C60BBE">
      <w:pPr>
        <w:pStyle w:val="AppxMinutesBullet"/>
      </w:pPr>
      <w:r>
        <w:t xml:space="preserve">26 February 2025 – Mr Alex Engel-Mallon, Advocacy Director, Climate Council, to the secretariat, noting that the council could appear at a rescheduled hearing </w:t>
      </w:r>
    </w:p>
    <w:p w14:paraId="78DDF42E" w14:textId="77777777" w:rsidR="00C60BBE" w:rsidRDefault="00C60BBE" w:rsidP="00C60BBE">
      <w:pPr>
        <w:pStyle w:val="AppxMinutesBullet"/>
      </w:pPr>
      <w:r>
        <w:t>Various dates - Postcards from individuals to the committee expressing concern about the impact of climate change and encouraging action to address this issue.</w:t>
      </w:r>
    </w:p>
    <w:p w14:paraId="75ED8CCE" w14:textId="77777777" w:rsidR="00C60BBE" w:rsidRDefault="00C60BBE" w:rsidP="00C60BBE">
      <w:pPr>
        <w:pStyle w:val="AppxMinutesSubHeading"/>
        <w:rPr>
          <w:sz w:val="24"/>
        </w:rPr>
      </w:pPr>
      <w:r>
        <w:t>Sent:</w:t>
      </w:r>
    </w:p>
    <w:p w14:paraId="353FC408" w14:textId="77777777" w:rsidR="00C60BBE" w:rsidRDefault="00C60BBE" w:rsidP="00BB388A">
      <w:pPr>
        <w:pStyle w:val="AppxMinutesBullet"/>
        <w:tabs>
          <w:tab w:val="clear" w:pos="851"/>
        </w:tabs>
      </w:pPr>
      <w:r>
        <w:lastRenderedPageBreak/>
        <w:t>18 December 2024 – Letter from Chair, to Dr Paul Grimes PSM, Chair, Net Zero Commission, advising that the inquiry into the 2024 Annual Report of the Net Zero Commission had commenced, inviting the organisation to make a submission and noting that representatives will be invited to appear as witnesses at the public hearing on 21 February 2025.</w:t>
      </w:r>
    </w:p>
    <w:p w14:paraId="6A5030DC" w14:textId="77777777" w:rsidR="00C60BBE" w:rsidRDefault="00C60BBE" w:rsidP="00C60BBE">
      <w:pPr>
        <w:pStyle w:val="AppxMinutesBodySingle"/>
        <w:spacing w:before="120"/>
        <w:ind w:left="851"/>
        <w:jc w:val="both"/>
        <w:rPr>
          <w:iCs/>
        </w:rPr>
      </w:pPr>
      <w:r>
        <w:rPr>
          <w:iCs/>
        </w:rPr>
        <w:t xml:space="preserve">Resolved, on the motion of Ms Higginson: That the committee authorise the publication of correspondence from Mr Peter </w:t>
      </w:r>
      <w:proofErr w:type="spellStart"/>
      <w:r>
        <w:rPr>
          <w:iCs/>
        </w:rPr>
        <w:t>Achterstraat</w:t>
      </w:r>
      <w:proofErr w:type="spellEnd"/>
      <w:r>
        <w:rPr>
          <w:iCs/>
        </w:rPr>
        <w:t xml:space="preserve"> AM, NSW Productivity &amp; Equality Commissioner, regarding the recent report</w:t>
      </w:r>
      <w:r>
        <w:rPr>
          <w:i/>
        </w:rPr>
        <w:t>, Ensuring a cost-effective transition, published by the NSW Productivity and Equality Commission</w:t>
      </w:r>
      <w:r>
        <w:rPr>
          <w:iCs/>
        </w:rPr>
        <w:t>, dated 12 February 2025.</w:t>
      </w:r>
    </w:p>
    <w:p w14:paraId="216F4C7A" w14:textId="77777777" w:rsidR="00C60BBE" w:rsidRDefault="00C60BBE" w:rsidP="00C60BBE">
      <w:pPr>
        <w:pStyle w:val="AppxMinutesHeadingOne"/>
        <w:numPr>
          <w:ilvl w:val="0"/>
          <w:numId w:val="39"/>
        </w:numPr>
        <w:rPr>
          <w:szCs w:val="24"/>
        </w:rPr>
      </w:pPr>
      <w:r>
        <w:rPr>
          <w:szCs w:val="24"/>
        </w:rPr>
        <w:t>Inquiry into the 2024 Annual Report of the Net Zero Commission</w:t>
      </w:r>
    </w:p>
    <w:p w14:paraId="45D5B505" w14:textId="31424323" w:rsidR="00C60BBE" w:rsidRDefault="00715212" w:rsidP="00715212">
      <w:pPr>
        <w:pStyle w:val="AppxMinutesHeadingTwo"/>
        <w:numPr>
          <w:ilvl w:val="1"/>
          <w:numId w:val="39"/>
        </w:numPr>
        <w:ind w:left="1134"/>
        <w:rPr>
          <w:szCs w:val="24"/>
        </w:rPr>
      </w:pPr>
      <w:r>
        <w:rPr>
          <w:szCs w:val="24"/>
        </w:rPr>
        <w:t xml:space="preserve"> </w:t>
      </w:r>
      <w:r w:rsidR="00B138EF">
        <w:rPr>
          <w:szCs w:val="24"/>
        </w:rPr>
        <w:t xml:space="preserve">5.1 </w:t>
      </w:r>
      <w:r>
        <w:rPr>
          <w:szCs w:val="24"/>
        </w:rPr>
        <w:tab/>
      </w:r>
      <w:r w:rsidR="00C60BBE">
        <w:rPr>
          <w:szCs w:val="24"/>
        </w:rPr>
        <w:t>Terms of reference</w:t>
      </w:r>
    </w:p>
    <w:p w14:paraId="328E4C58" w14:textId="77777777" w:rsidR="00C60BBE" w:rsidRDefault="00C60BBE" w:rsidP="00715212">
      <w:pPr>
        <w:pStyle w:val="AppxMinutesBody"/>
        <w:tabs>
          <w:tab w:val="num" w:pos="709"/>
        </w:tabs>
        <w:ind w:left="709"/>
      </w:pPr>
      <w:r>
        <w:t xml:space="preserve">The committee noted that as agreed via email, the committee has commenced its inquiry into the 2024 Annual Report of the Net Zero Commission. </w:t>
      </w:r>
    </w:p>
    <w:p w14:paraId="4556C1AA" w14:textId="77777777" w:rsidR="00C60BBE" w:rsidRDefault="00C60BBE" w:rsidP="00C60BBE">
      <w:pPr>
        <w:pStyle w:val="AppxMinutesBody"/>
        <w:ind w:firstLine="142"/>
      </w:pPr>
      <w:r>
        <w:t xml:space="preserve">The terms of reference for this inquiry are: </w:t>
      </w:r>
    </w:p>
    <w:p w14:paraId="2C506A28" w14:textId="77777777" w:rsidR="00C60BBE" w:rsidRDefault="00C60BBE" w:rsidP="00BB388A">
      <w:pPr>
        <w:pStyle w:val="AppxMinutesBullet"/>
        <w:numPr>
          <w:ilvl w:val="0"/>
          <w:numId w:val="40"/>
        </w:numPr>
        <w:tabs>
          <w:tab w:val="left" w:pos="720"/>
        </w:tabs>
        <w:ind w:left="1276" w:hanging="567"/>
      </w:pPr>
      <w:r>
        <w:t>That the committee inquire into and report on the 2024 Annual Report of the Net Zero Commission.</w:t>
      </w:r>
    </w:p>
    <w:p w14:paraId="24053A61" w14:textId="2A5B1965" w:rsidR="00C60BBE" w:rsidRDefault="00715212" w:rsidP="00715212">
      <w:pPr>
        <w:pStyle w:val="AppxMinutesHeadingTwo"/>
        <w:numPr>
          <w:ilvl w:val="0"/>
          <w:numId w:val="0"/>
        </w:numPr>
        <w:ind w:left="1134" w:hanging="567"/>
        <w:rPr>
          <w:szCs w:val="24"/>
        </w:rPr>
      </w:pPr>
      <w:r>
        <w:rPr>
          <w:szCs w:val="24"/>
        </w:rPr>
        <w:t>5.2</w:t>
      </w:r>
      <w:r>
        <w:rPr>
          <w:szCs w:val="24"/>
        </w:rPr>
        <w:tab/>
      </w:r>
      <w:r w:rsidR="00C60BBE">
        <w:rPr>
          <w:szCs w:val="24"/>
        </w:rPr>
        <w:t>Inquiry timeline and activities</w:t>
      </w:r>
    </w:p>
    <w:p w14:paraId="779D5767" w14:textId="77777777" w:rsidR="00C60BBE" w:rsidRDefault="00C60BBE" w:rsidP="00C60BBE">
      <w:pPr>
        <w:pStyle w:val="AppxMinutesBody"/>
        <w:spacing w:before="120"/>
        <w:rPr>
          <w:iCs/>
        </w:rPr>
      </w:pPr>
      <w:r>
        <w:rPr>
          <w:iCs/>
        </w:rPr>
        <w:t>Resolved, on the motion of Ms Butler: That the committee:</w:t>
      </w:r>
    </w:p>
    <w:p w14:paraId="6A2F0526" w14:textId="77777777" w:rsidR="00C60BBE" w:rsidRDefault="00C60BBE" w:rsidP="00C60BBE">
      <w:pPr>
        <w:pStyle w:val="AppxMinutesBullet"/>
        <w:rPr>
          <w:iCs/>
        </w:rPr>
      </w:pPr>
      <w:r>
        <w:rPr>
          <w:iCs/>
        </w:rPr>
        <w:t xml:space="preserve">call for submissions </w:t>
      </w:r>
    </w:p>
    <w:p w14:paraId="28E57107" w14:textId="77777777" w:rsidR="00C60BBE" w:rsidRDefault="00C60BBE" w:rsidP="00C60BBE">
      <w:pPr>
        <w:pStyle w:val="AppxMinutesBullet"/>
        <w:rPr>
          <w:iCs/>
        </w:rPr>
      </w:pPr>
      <w:r>
        <w:rPr>
          <w:iCs/>
        </w:rPr>
        <w:t>have the closing date for submissions be Friday 31 January 2025</w:t>
      </w:r>
    </w:p>
    <w:p w14:paraId="052DD471" w14:textId="77777777" w:rsidR="00C60BBE" w:rsidRDefault="00C60BBE" w:rsidP="00C60BBE">
      <w:pPr>
        <w:pStyle w:val="AppxMinutesBullet"/>
        <w:rPr>
          <w:iCs/>
        </w:rPr>
      </w:pPr>
      <w:r>
        <w:rPr>
          <w:iCs/>
        </w:rPr>
        <w:t xml:space="preserve">cancel the public hearing scheduled for Friday 21 February 2025 </w:t>
      </w:r>
    </w:p>
    <w:p w14:paraId="4A3B9DAF" w14:textId="77777777" w:rsidR="00C60BBE" w:rsidRDefault="00C60BBE" w:rsidP="00C60BBE">
      <w:pPr>
        <w:pStyle w:val="AppxMinutesBullet"/>
        <w:rPr>
          <w:iCs/>
        </w:rPr>
      </w:pPr>
      <w:r>
        <w:rPr>
          <w:iCs/>
        </w:rPr>
        <w:t xml:space="preserve">reschedule the public hearing to Friday 14 March 2025, noting that the Legislative Council had previously resolved that this would be a committee free date </w:t>
      </w:r>
    </w:p>
    <w:p w14:paraId="6C1D29F9" w14:textId="77777777" w:rsidR="00C60BBE" w:rsidRDefault="00C60BBE" w:rsidP="00C60BBE">
      <w:pPr>
        <w:pStyle w:val="AppxMinutesBullet"/>
        <w:rPr>
          <w:iCs/>
        </w:rPr>
      </w:pPr>
      <w:r>
        <w:rPr>
          <w:iCs/>
        </w:rPr>
        <w:t>invite representatives from the Net Zero Commission and other stakeholders to appear as witnesses at the hearing</w:t>
      </w:r>
    </w:p>
    <w:p w14:paraId="35E028C6" w14:textId="77777777" w:rsidR="00C60BBE" w:rsidRDefault="00C60BBE" w:rsidP="00C60BBE">
      <w:pPr>
        <w:pStyle w:val="AppxMinutesBullet"/>
        <w:rPr>
          <w:iCs/>
        </w:rPr>
      </w:pPr>
      <w:r>
        <w:rPr>
          <w:iCs/>
        </w:rPr>
        <w:t>hold a report deliberative meeting at 4 pm on Friday 21 March 2025</w:t>
      </w:r>
    </w:p>
    <w:p w14:paraId="7388FC62" w14:textId="77777777" w:rsidR="00C60BBE" w:rsidRDefault="00C60BBE" w:rsidP="00C60BBE">
      <w:pPr>
        <w:pStyle w:val="AppxMinutesBullet"/>
        <w:rPr>
          <w:iCs/>
        </w:rPr>
      </w:pPr>
      <w:r>
        <w:rPr>
          <w:iCs/>
        </w:rPr>
        <w:t>table its report by Friday 28 March 2025</w:t>
      </w:r>
    </w:p>
    <w:p w14:paraId="69472E3D" w14:textId="77777777" w:rsidR="00C60BBE" w:rsidRDefault="00C60BBE" w:rsidP="00C60BBE">
      <w:pPr>
        <w:pStyle w:val="AppxMinutesBullet"/>
        <w:rPr>
          <w:iCs/>
        </w:rPr>
      </w:pPr>
      <w:r>
        <w:rPr>
          <w:iCs/>
        </w:rPr>
        <w:t>have the Chair, on behalf of the committee, write to the Net Zero Commission advising that the inquiry has commenced, inviting a submission and notifying intention to invite representatives to appear as witnesses.</w:t>
      </w:r>
    </w:p>
    <w:p w14:paraId="6AC5D710" w14:textId="1E7ECDF0" w:rsidR="00C60BBE" w:rsidRDefault="00715212" w:rsidP="00715212">
      <w:pPr>
        <w:pStyle w:val="AppxMinutesHeadingTwo"/>
        <w:keepNext/>
        <w:numPr>
          <w:ilvl w:val="1"/>
          <w:numId w:val="39"/>
        </w:numPr>
        <w:ind w:hanging="283"/>
        <w:rPr>
          <w:szCs w:val="24"/>
        </w:rPr>
      </w:pPr>
      <w:r>
        <w:rPr>
          <w:szCs w:val="24"/>
        </w:rPr>
        <w:t xml:space="preserve">5.3      </w:t>
      </w:r>
      <w:r w:rsidR="00C60BBE">
        <w:rPr>
          <w:szCs w:val="24"/>
        </w:rPr>
        <w:t xml:space="preserve">Stakeholder list </w:t>
      </w:r>
    </w:p>
    <w:p w14:paraId="42D87926" w14:textId="77777777" w:rsidR="00C60BBE" w:rsidRDefault="00C60BBE" w:rsidP="00715212">
      <w:pPr>
        <w:pStyle w:val="AppxMinutesHeadingTwo"/>
        <w:numPr>
          <w:ilvl w:val="0"/>
          <w:numId w:val="0"/>
        </w:numPr>
        <w:spacing w:before="0"/>
        <w:ind w:left="567"/>
        <w:jc w:val="both"/>
        <w:rPr>
          <w:b w:val="0"/>
          <w:bCs/>
          <w:szCs w:val="24"/>
        </w:rPr>
      </w:pPr>
      <w:r>
        <w:rPr>
          <w:b w:val="0"/>
          <w:bCs/>
          <w:szCs w:val="24"/>
        </w:rPr>
        <w:t>The committee noted that as agreed via email, the stakeholders on the Chair's proposed stakeholder list, as amended, were invited to make a submission.</w:t>
      </w:r>
    </w:p>
    <w:p w14:paraId="05AC75DC" w14:textId="7020342E" w:rsidR="00C60BBE" w:rsidRDefault="00715212" w:rsidP="00C60BBE">
      <w:pPr>
        <w:pStyle w:val="AppxMinutesHeadingTwo"/>
        <w:numPr>
          <w:ilvl w:val="1"/>
          <w:numId w:val="39"/>
        </w:numPr>
        <w:ind w:left="1134"/>
        <w:rPr>
          <w:szCs w:val="24"/>
        </w:rPr>
      </w:pPr>
      <w:r>
        <w:rPr>
          <w:szCs w:val="24"/>
        </w:rPr>
        <w:t>5.4</w:t>
      </w:r>
      <w:r>
        <w:rPr>
          <w:szCs w:val="24"/>
        </w:rPr>
        <w:tab/>
      </w:r>
      <w:r w:rsidR="00C60BBE">
        <w:rPr>
          <w:szCs w:val="24"/>
        </w:rPr>
        <w:t>Public submissions</w:t>
      </w:r>
    </w:p>
    <w:p w14:paraId="44321E3C" w14:textId="77777777" w:rsidR="00C60BBE" w:rsidRDefault="00C60BBE" w:rsidP="00C60BBE">
      <w:pPr>
        <w:pStyle w:val="AppxMinutesBody"/>
      </w:pPr>
      <w:r>
        <w:t xml:space="preserve">The committee noted the following submissions were published by the committee clerk under the authorisation of </w:t>
      </w:r>
      <w:r>
        <w:rPr>
          <w:szCs w:val="24"/>
        </w:rPr>
        <w:t>the resolution appointing the committee</w:t>
      </w:r>
      <w:r>
        <w:t>: submission nos. 1-5, 5a, 6-14, 16, 20, 22-25, 27-29, 31-33, 35, 36, 38-42, 42a, 44-46, 46a, 48-51, 53-66, 68, 70-76, 78-83 and 85-87.</w:t>
      </w:r>
    </w:p>
    <w:p w14:paraId="51BECF2B" w14:textId="4D35C26E" w:rsidR="00C60BBE" w:rsidRDefault="00DB67AC" w:rsidP="00C60BBE">
      <w:pPr>
        <w:pStyle w:val="AppxMinutesHeadingTwo"/>
        <w:numPr>
          <w:ilvl w:val="1"/>
          <w:numId w:val="39"/>
        </w:numPr>
        <w:ind w:left="1134"/>
        <w:rPr>
          <w:szCs w:val="24"/>
        </w:rPr>
      </w:pPr>
      <w:r>
        <w:rPr>
          <w:szCs w:val="24"/>
        </w:rPr>
        <w:t>5.5</w:t>
      </w:r>
      <w:r>
        <w:rPr>
          <w:szCs w:val="24"/>
        </w:rPr>
        <w:tab/>
      </w:r>
      <w:r w:rsidR="00C60BBE">
        <w:rPr>
          <w:szCs w:val="24"/>
        </w:rPr>
        <w:t>Partially confidential submissions</w:t>
      </w:r>
    </w:p>
    <w:p w14:paraId="201E89A0" w14:textId="77777777" w:rsidR="00C60BBE" w:rsidRDefault="00C60BBE" w:rsidP="00C60BBE">
      <w:pPr>
        <w:pStyle w:val="AppxMinutesBody"/>
        <w:rPr>
          <w:iCs/>
        </w:rPr>
      </w:pPr>
      <w:r>
        <w:rPr>
          <w:iCs/>
        </w:rPr>
        <w:t>Resolved, on the motion of Ms Higginson: That the committee keep the following information confidential, as per the request of the author: names and/or identifying and sensitive information in submissions nos. 15, 17-19, 21, 26, 30, 34, 37, 43, 47, 52, 67, 69 and 77.</w:t>
      </w:r>
    </w:p>
    <w:p w14:paraId="4E929345" w14:textId="51124008" w:rsidR="00C60BBE" w:rsidRDefault="00DB67AC" w:rsidP="00C60BBE">
      <w:pPr>
        <w:pStyle w:val="AppxMinutesHeadingTwo"/>
        <w:numPr>
          <w:ilvl w:val="1"/>
          <w:numId w:val="39"/>
        </w:numPr>
        <w:ind w:left="1134"/>
        <w:rPr>
          <w:szCs w:val="24"/>
        </w:rPr>
      </w:pPr>
      <w:r>
        <w:rPr>
          <w:szCs w:val="24"/>
        </w:rPr>
        <w:t>5.6</w:t>
      </w:r>
      <w:r>
        <w:rPr>
          <w:szCs w:val="24"/>
        </w:rPr>
        <w:tab/>
      </w:r>
      <w:r w:rsidR="00C60BBE">
        <w:rPr>
          <w:szCs w:val="24"/>
        </w:rPr>
        <w:t>Confidential submissions</w:t>
      </w:r>
    </w:p>
    <w:p w14:paraId="6828973B" w14:textId="77777777" w:rsidR="00C60BBE" w:rsidRDefault="00C60BBE" w:rsidP="00C60BBE">
      <w:pPr>
        <w:pStyle w:val="AppxMinutesBody"/>
        <w:rPr>
          <w:iCs/>
        </w:rPr>
      </w:pPr>
      <w:r>
        <w:rPr>
          <w:iCs/>
        </w:rPr>
        <w:t xml:space="preserve">Resolved, on the motion of Ms Butler: That the committee keep submission no. 84 confidential, as per the request of the author. </w:t>
      </w:r>
    </w:p>
    <w:p w14:paraId="783E921D" w14:textId="202BEF55" w:rsidR="00C60BBE" w:rsidRDefault="00DB67AC" w:rsidP="00C60BBE">
      <w:pPr>
        <w:pStyle w:val="AppxMinutesHeadingTwo"/>
        <w:numPr>
          <w:ilvl w:val="1"/>
          <w:numId w:val="39"/>
        </w:numPr>
        <w:ind w:left="1134"/>
        <w:rPr>
          <w:szCs w:val="24"/>
        </w:rPr>
      </w:pPr>
      <w:r>
        <w:rPr>
          <w:szCs w:val="24"/>
        </w:rPr>
        <w:t>5.7</w:t>
      </w:r>
      <w:r>
        <w:rPr>
          <w:szCs w:val="24"/>
        </w:rPr>
        <w:tab/>
      </w:r>
      <w:r w:rsidR="00C60BBE">
        <w:rPr>
          <w:szCs w:val="24"/>
        </w:rPr>
        <w:t>Attachment to submission no. 53</w:t>
      </w:r>
    </w:p>
    <w:p w14:paraId="13786104" w14:textId="77777777" w:rsidR="00C60BBE" w:rsidRDefault="00C60BBE" w:rsidP="00C60BBE">
      <w:pPr>
        <w:pStyle w:val="AppxMinutesBody"/>
      </w:pPr>
      <w:r>
        <w:t>Resolved, on the motion of Ms Higginson: That the committee authorise the publication of the attachment to submission no. 53.</w:t>
      </w:r>
    </w:p>
    <w:p w14:paraId="0C2EA14F" w14:textId="6ABE9A78" w:rsidR="00C60BBE" w:rsidRDefault="00FA04CA" w:rsidP="00C60BBE">
      <w:pPr>
        <w:pStyle w:val="AppxMinutesHeadingTwo"/>
        <w:numPr>
          <w:ilvl w:val="1"/>
          <w:numId w:val="39"/>
        </w:numPr>
        <w:ind w:left="1134"/>
        <w:rPr>
          <w:szCs w:val="24"/>
        </w:rPr>
      </w:pPr>
      <w:r>
        <w:rPr>
          <w:szCs w:val="24"/>
        </w:rPr>
        <w:lastRenderedPageBreak/>
        <w:t>5.8</w:t>
      </w:r>
      <w:r>
        <w:rPr>
          <w:szCs w:val="24"/>
        </w:rPr>
        <w:tab/>
      </w:r>
      <w:r w:rsidR="00C60BBE">
        <w:rPr>
          <w:szCs w:val="24"/>
        </w:rPr>
        <w:t xml:space="preserve">Proformas </w:t>
      </w:r>
    </w:p>
    <w:p w14:paraId="73EF18C8" w14:textId="77777777" w:rsidR="00C60BBE" w:rsidRDefault="00C60BBE" w:rsidP="00C60BBE">
      <w:pPr>
        <w:pStyle w:val="AppxMinutesBody"/>
      </w:pPr>
      <w:r>
        <w:t xml:space="preserve">Resolved, on the motion of Ms </w:t>
      </w:r>
      <w:proofErr w:type="spellStart"/>
      <w:r>
        <w:t>Scruby</w:t>
      </w:r>
      <w:proofErr w:type="spellEnd"/>
      <w:r>
        <w:t>: That the committee:</w:t>
      </w:r>
    </w:p>
    <w:p w14:paraId="36969CA1" w14:textId="77777777" w:rsidR="00C60BBE" w:rsidRDefault="00C60BBE" w:rsidP="00C60BBE">
      <w:pPr>
        <w:pStyle w:val="AppxMinutesBullet"/>
      </w:pPr>
      <w:r>
        <w:t>accept and publish a copy of Proforma A</w:t>
      </w:r>
    </w:p>
    <w:p w14:paraId="4B039C96" w14:textId="77777777" w:rsidR="00C60BBE" w:rsidRDefault="00C60BBE" w:rsidP="00C60BBE">
      <w:pPr>
        <w:pStyle w:val="AppxMinutesBullet"/>
      </w:pPr>
      <w:r>
        <w:t>identify the number of Proforma A received on the cover page of the published document.</w:t>
      </w:r>
    </w:p>
    <w:p w14:paraId="649B06FF" w14:textId="0ED1C690" w:rsidR="00C60BBE" w:rsidRDefault="00DF2C9A" w:rsidP="00C60BBE">
      <w:pPr>
        <w:pStyle w:val="AppxMinutesHeadingTwo"/>
        <w:numPr>
          <w:ilvl w:val="1"/>
          <w:numId w:val="39"/>
        </w:numPr>
        <w:ind w:left="1134"/>
        <w:rPr>
          <w:szCs w:val="24"/>
        </w:rPr>
      </w:pPr>
      <w:r>
        <w:rPr>
          <w:szCs w:val="24"/>
        </w:rPr>
        <w:t>5.9</w:t>
      </w:r>
      <w:r>
        <w:rPr>
          <w:szCs w:val="24"/>
        </w:rPr>
        <w:tab/>
      </w:r>
      <w:r w:rsidR="00C60BBE">
        <w:rPr>
          <w:szCs w:val="24"/>
        </w:rPr>
        <w:t>Providing members with a copy of the Chair's draft report</w:t>
      </w:r>
    </w:p>
    <w:p w14:paraId="2A68630B" w14:textId="77777777" w:rsidR="00C60BBE" w:rsidRDefault="00C60BBE" w:rsidP="0019448B">
      <w:pPr>
        <w:pStyle w:val="AppxMinutesHeadingTwo"/>
        <w:numPr>
          <w:ilvl w:val="0"/>
          <w:numId w:val="0"/>
        </w:numPr>
        <w:ind w:left="567"/>
        <w:rPr>
          <w:b w:val="0"/>
          <w:bCs/>
          <w:iCs/>
          <w:szCs w:val="24"/>
        </w:rPr>
      </w:pPr>
      <w:r>
        <w:rPr>
          <w:b w:val="0"/>
          <w:bCs/>
          <w:szCs w:val="24"/>
        </w:rPr>
        <w:t>Resolved, on the motion of Ms Butler:</w:t>
      </w:r>
      <w:r>
        <w:rPr>
          <w:b w:val="0"/>
          <w:bCs/>
          <w:iCs/>
          <w:szCs w:val="24"/>
        </w:rPr>
        <w:t xml:space="preserve"> </w:t>
      </w:r>
      <w:r>
        <w:rPr>
          <w:b w:val="0"/>
          <w:bCs/>
          <w:szCs w:val="24"/>
        </w:rPr>
        <w:t>That members be provided with a copy of the Chair's draft report in less than 7 calendar days before the scheduled report deliberative date.</w:t>
      </w:r>
    </w:p>
    <w:p w14:paraId="01AC60E3" w14:textId="282C6DCF" w:rsidR="00C60BBE" w:rsidRDefault="0019448B" w:rsidP="0019448B">
      <w:pPr>
        <w:pStyle w:val="AppxMinutesHeadingTwo"/>
        <w:numPr>
          <w:ilvl w:val="1"/>
          <w:numId w:val="39"/>
        </w:numPr>
        <w:ind w:left="1134"/>
        <w:rPr>
          <w:i/>
          <w:szCs w:val="24"/>
        </w:rPr>
      </w:pPr>
      <w:r>
        <w:rPr>
          <w:szCs w:val="24"/>
        </w:rPr>
        <w:t>5.10</w:t>
      </w:r>
      <w:r>
        <w:rPr>
          <w:szCs w:val="24"/>
        </w:rPr>
        <w:tab/>
      </w:r>
      <w:r w:rsidR="00C60BBE">
        <w:rPr>
          <w:szCs w:val="24"/>
        </w:rPr>
        <w:t xml:space="preserve">Return of post-hearing responses </w:t>
      </w:r>
    </w:p>
    <w:p w14:paraId="4D0D874E" w14:textId="77777777" w:rsidR="00C60BBE" w:rsidRDefault="00C60BBE" w:rsidP="00C60BBE">
      <w:pPr>
        <w:pStyle w:val="AppxMinutesBody"/>
        <w:spacing w:before="120"/>
        <w:rPr>
          <w:b/>
          <w:iCs/>
        </w:rPr>
      </w:pPr>
      <w:r>
        <w:rPr>
          <w:iCs/>
        </w:rPr>
        <w:t>Resolved, on the motion of Ms Higginson: That:</w:t>
      </w:r>
    </w:p>
    <w:p w14:paraId="1B0CA6F0" w14:textId="77777777" w:rsidR="00C60BBE" w:rsidRDefault="00C60BBE" w:rsidP="00C60BBE">
      <w:pPr>
        <w:pStyle w:val="AppxMinutesBullet"/>
        <w:rPr>
          <w:iCs/>
        </w:rPr>
      </w:pPr>
      <w:r>
        <w:rPr>
          <w:iCs/>
        </w:rPr>
        <w:t>there be no provision for supplementary questions for the hearing on 14 March 2025</w:t>
      </w:r>
    </w:p>
    <w:p w14:paraId="4F6D095F" w14:textId="77777777" w:rsidR="00C60BBE" w:rsidRDefault="00C60BBE" w:rsidP="00C60BBE">
      <w:pPr>
        <w:pStyle w:val="AppxMinutesBullet"/>
        <w:rPr>
          <w:iCs/>
        </w:rPr>
      </w:pPr>
      <w:r>
        <w:rPr>
          <w:iCs/>
        </w:rPr>
        <w:t>witnesses be requested to return responses to questions on notice and any additional information within 24 hours of the date on which questions are forwarded to them.</w:t>
      </w:r>
    </w:p>
    <w:p w14:paraId="250D6698" w14:textId="4B29FAF9" w:rsidR="00C60BBE" w:rsidRDefault="0019448B" w:rsidP="00C60BBE">
      <w:pPr>
        <w:pStyle w:val="AppxMinutesHeadingTwo"/>
        <w:numPr>
          <w:ilvl w:val="1"/>
          <w:numId w:val="39"/>
        </w:numPr>
        <w:ind w:left="1134"/>
        <w:rPr>
          <w:szCs w:val="24"/>
        </w:rPr>
      </w:pPr>
      <w:r>
        <w:rPr>
          <w:szCs w:val="24"/>
        </w:rPr>
        <w:t>5.11</w:t>
      </w:r>
      <w:r>
        <w:rPr>
          <w:szCs w:val="24"/>
        </w:rPr>
        <w:tab/>
      </w:r>
      <w:r w:rsidR="00C60BBE">
        <w:rPr>
          <w:szCs w:val="24"/>
        </w:rPr>
        <w:t>Public hearing</w:t>
      </w:r>
    </w:p>
    <w:p w14:paraId="0E2589F9" w14:textId="77777777" w:rsidR="00C60BBE" w:rsidRDefault="00C60BBE" w:rsidP="00C60BBE">
      <w:pPr>
        <w:pStyle w:val="AppxMinutesBody"/>
      </w:pPr>
      <w:r>
        <w:t>Resolved, on the motion of Ms Higginson: That the allocation of questions to be asked at the hearing be left in the hands of the Chair.</w:t>
      </w:r>
    </w:p>
    <w:p w14:paraId="512AC423" w14:textId="77777777" w:rsidR="00C60BBE" w:rsidRDefault="00C60BBE" w:rsidP="00C60BBE">
      <w:pPr>
        <w:pStyle w:val="AppxMinutesBodySingle"/>
        <w:spacing w:before="120"/>
      </w:pPr>
      <w:r>
        <w:t>The public and the media were admitted.</w:t>
      </w:r>
    </w:p>
    <w:p w14:paraId="70B352C5" w14:textId="77777777" w:rsidR="00C60BBE" w:rsidRDefault="00C60BBE" w:rsidP="00C60BBE">
      <w:pPr>
        <w:pStyle w:val="AppxMinutesBodySingle"/>
        <w:spacing w:before="120"/>
      </w:pPr>
      <w:r>
        <w:t>The following witnesses were sworn and examined:</w:t>
      </w:r>
    </w:p>
    <w:p w14:paraId="2A7B4A86" w14:textId="77777777" w:rsidR="00C60BBE" w:rsidRDefault="00C60BBE" w:rsidP="00C60BBE">
      <w:pPr>
        <w:pStyle w:val="AppxMinutesBullet"/>
      </w:pPr>
      <w:r>
        <w:t>Mr Howard Witt, Director, Citizens' Climate Lobby Australia</w:t>
      </w:r>
    </w:p>
    <w:p w14:paraId="56E6D35D" w14:textId="77777777" w:rsidR="00C60BBE" w:rsidRDefault="00C60BBE" w:rsidP="00C60BBE">
      <w:pPr>
        <w:pStyle w:val="AppxMinutesBullet"/>
      </w:pPr>
      <w:r>
        <w:t>Mr Richard Weller, Director, Citizens' Climate Lobby Australia</w:t>
      </w:r>
    </w:p>
    <w:p w14:paraId="70478B12" w14:textId="77777777" w:rsidR="00C60BBE" w:rsidRDefault="00C60BBE" w:rsidP="00C60BBE">
      <w:pPr>
        <w:pStyle w:val="AppxMinutesBullet"/>
      </w:pPr>
      <w:r>
        <w:t>Ms Virginia Young, Director, Wilderness Australia (via telephone)</w:t>
      </w:r>
    </w:p>
    <w:p w14:paraId="03AF2E26" w14:textId="77777777" w:rsidR="00C60BBE" w:rsidRDefault="00C60BBE" w:rsidP="00C60BBE">
      <w:pPr>
        <w:pStyle w:val="AppxMinutesBullet"/>
      </w:pPr>
      <w:r>
        <w:t>Mr Nic Clyde, NSW Coordinator, Lock the Gate Alliance</w:t>
      </w:r>
    </w:p>
    <w:p w14:paraId="728A1DFA" w14:textId="77777777" w:rsidR="00C60BBE" w:rsidRDefault="00C60BBE" w:rsidP="00C60BBE">
      <w:pPr>
        <w:pStyle w:val="AppxMinutesBullet"/>
      </w:pPr>
      <w:r>
        <w:t>Dr Georgina Woods, Head of Research and Investigations, Lock the Gate Alliance.</w:t>
      </w:r>
    </w:p>
    <w:p w14:paraId="37ACE62C" w14:textId="77777777" w:rsidR="00C60BBE" w:rsidRDefault="00C60BBE" w:rsidP="00C60BBE">
      <w:pPr>
        <w:pStyle w:val="AppxMinutesBullet"/>
        <w:numPr>
          <w:ilvl w:val="0"/>
          <w:numId w:val="0"/>
        </w:numPr>
        <w:tabs>
          <w:tab w:val="left" w:pos="720"/>
        </w:tabs>
        <w:spacing w:before="120"/>
        <w:ind w:left="851" w:hanging="284"/>
      </w:pPr>
      <w:r>
        <w:t>Mr Clyde tendered the following documents:</w:t>
      </w:r>
    </w:p>
    <w:p w14:paraId="7F07049E" w14:textId="77777777" w:rsidR="00C60BBE" w:rsidRDefault="00C60BBE" w:rsidP="00C60BBE">
      <w:pPr>
        <w:pStyle w:val="AppxMinutesBullet"/>
      </w:pPr>
      <w:r>
        <w:t>Lock the Gate Alliance, Closure timeframes for coal mines and workforce impacts scheduled between 2025 and 2050, with source attribution to the NSW Planning Portal and Coal Services</w:t>
      </w:r>
    </w:p>
    <w:p w14:paraId="4B490B0C" w14:textId="77777777" w:rsidR="00C60BBE" w:rsidRDefault="00C60BBE" w:rsidP="00C60BBE">
      <w:pPr>
        <w:pStyle w:val="AppxMinutesBullet"/>
      </w:pPr>
      <w:r>
        <w:t xml:space="preserve">Lock the Gate Alliance, Chart titled ‘Fugitive emissions from coal mining are the only sector projected to increase emissions out to 2030’, with data source attribution to the NSW Department of Climate Change, Energy, Environment and Water </w:t>
      </w:r>
      <w:r>
        <w:rPr>
          <w:i/>
          <w:iCs/>
        </w:rPr>
        <w:t>NSW greenhouse gas emissions projections</w:t>
      </w:r>
      <w:r>
        <w:t xml:space="preserve"> 2023</w:t>
      </w:r>
    </w:p>
    <w:p w14:paraId="4C39A9B2" w14:textId="77777777" w:rsidR="00C60BBE" w:rsidRDefault="00C60BBE" w:rsidP="00C60BBE">
      <w:pPr>
        <w:pStyle w:val="AppxMinutesBullet"/>
      </w:pPr>
      <w:r>
        <w:t xml:space="preserve">Lock the Gate Alliance, Chart titled ‘New coal approved annual in NSW since the Paris Agreement vs 21 proposed new coal-mine expansions as </w:t>
      </w:r>
      <w:proofErr w:type="gramStart"/>
      <w:r>
        <w:t>at</w:t>
      </w:r>
      <w:proofErr w:type="gramEnd"/>
      <w:r>
        <w:t xml:space="preserve"> Feb 2025’.</w:t>
      </w:r>
    </w:p>
    <w:p w14:paraId="5B2FDF70" w14:textId="77777777" w:rsidR="00C60BBE" w:rsidRDefault="00C60BBE" w:rsidP="00C60BBE">
      <w:pPr>
        <w:pStyle w:val="AppxMinutesBullet"/>
        <w:numPr>
          <w:ilvl w:val="0"/>
          <w:numId w:val="0"/>
        </w:numPr>
        <w:tabs>
          <w:tab w:val="left" w:pos="720"/>
        </w:tabs>
        <w:spacing w:before="120"/>
        <w:ind w:left="851" w:hanging="284"/>
      </w:pPr>
      <w:r>
        <w:t>Mr Witt tendered the following documents:</w:t>
      </w:r>
    </w:p>
    <w:p w14:paraId="569BBA5B" w14:textId="77777777" w:rsidR="00C60BBE" w:rsidRDefault="00C60BBE" w:rsidP="00C60BBE">
      <w:pPr>
        <w:pStyle w:val="AppxMinutesBullet"/>
      </w:pPr>
      <w:r>
        <w:t>Citizens’ Climate Lobby Australia, Opening statement by the Citizen’s Climate Lobby Australia</w:t>
      </w:r>
    </w:p>
    <w:p w14:paraId="2F4919C3" w14:textId="77777777" w:rsidR="00C60BBE" w:rsidRDefault="00C60BBE" w:rsidP="00C60BBE">
      <w:pPr>
        <w:pStyle w:val="AppxMinutesBullet"/>
      </w:pPr>
      <w:r>
        <w:t>Citizens’ Climate Lobby Australia, ‘A climate dividend for Australians’.</w:t>
      </w:r>
    </w:p>
    <w:p w14:paraId="226E2C7A" w14:textId="77777777" w:rsidR="00C60BBE" w:rsidRDefault="00C60BBE" w:rsidP="00C60BBE">
      <w:pPr>
        <w:pStyle w:val="AppxMinutesBullet"/>
        <w:numPr>
          <w:ilvl w:val="0"/>
          <w:numId w:val="0"/>
        </w:numPr>
        <w:tabs>
          <w:tab w:val="left" w:pos="720"/>
        </w:tabs>
        <w:spacing w:before="120"/>
        <w:ind w:left="851" w:hanging="284"/>
      </w:pPr>
      <w:r>
        <w:t>The evidence concluded and the witnesses withdrew.</w:t>
      </w:r>
    </w:p>
    <w:p w14:paraId="77AD079A" w14:textId="77777777" w:rsidR="00C60BBE" w:rsidRDefault="00C60BBE" w:rsidP="00C60BBE">
      <w:pPr>
        <w:pStyle w:val="AppxMinutesBullet"/>
        <w:numPr>
          <w:ilvl w:val="0"/>
          <w:numId w:val="0"/>
        </w:numPr>
        <w:tabs>
          <w:tab w:val="left" w:pos="720"/>
        </w:tabs>
        <w:spacing w:before="120"/>
        <w:ind w:left="851" w:hanging="284"/>
      </w:pPr>
      <w:r>
        <w:t>The following witnesses were sworn and examined:</w:t>
      </w:r>
    </w:p>
    <w:p w14:paraId="4409A37E" w14:textId="77777777" w:rsidR="00C60BBE" w:rsidRDefault="00C60BBE" w:rsidP="00C60BBE">
      <w:pPr>
        <w:pStyle w:val="AppxMinutesBullet"/>
      </w:pPr>
      <w:r>
        <w:t>Mr Roderick Campbell, Research Director, The Australia Institute (via videoconference)</w:t>
      </w:r>
    </w:p>
    <w:p w14:paraId="40D1FF0D" w14:textId="77777777" w:rsidR="00C60BBE" w:rsidRDefault="00C60BBE" w:rsidP="00C60BBE">
      <w:pPr>
        <w:pStyle w:val="AppxMinutesBullet"/>
      </w:pPr>
      <w:r>
        <w:t xml:space="preserve">Ms Kylie Turner, System Lead – Sustainable Economies, </w:t>
      </w:r>
      <w:proofErr w:type="spellStart"/>
      <w:r>
        <w:t>Climateworks</w:t>
      </w:r>
      <w:proofErr w:type="spellEnd"/>
      <w:r>
        <w:t xml:space="preserve"> Centre</w:t>
      </w:r>
    </w:p>
    <w:p w14:paraId="53326D3D" w14:textId="77777777" w:rsidR="00C60BBE" w:rsidRDefault="00C60BBE" w:rsidP="00C60BBE">
      <w:pPr>
        <w:pStyle w:val="AppxMinutesBullet"/>
      </w:pPr>
      <w:r>
        <w:t xml:space="preserve">Mr Gregory </w:t>
      </w:r>
      <w:proofErr w:type="spellStart"/>
      <w:r>
        <w:t>Bourne</w:t>
      </w:r>
      <w:proofErr w:type="spellEnd"/>
      <w:r>
        <w:t>, Councillor, Climate Council.</w:t>
      </w:r>
    </w:p>
    <w:p w14:paraId="50959CFE" w14:textId="77777777" w:rsidR="00C60BBE" w:rsidRDefault="00C60BBE" w:rsidP="00C60BBE">
      <w:pPr>
        <w:pStyle w:val="AppxMinutesBullet"/>
        <w:numPr>
          <w:ilvl w:val="0"/>
          <w:numId w:val="0"/>
        </w:numPr>
        <w:tabs>
          <w:tab w:val="left" w:pos="720"/>
        </w:tabs>
        <w:spacing w:before="120"/>
        <w:ind w:left="567"/>
      </w:pPr>
      <w:r>
        <w:t>The evidence concluded and the witnesses withdrew.</w:t>
      </w:r>
    </w:p>
    <w:p w14:paraId="16B4A254" w14:textId="77777777" w:rsidR="00C60BBE" w:rsidRDefault="00C60BBE" w:rsidP="00C60BBE">
      <w:pPr>
        <w:pStyle w:val="AppxMinutesBodySingle"/>
        <w:spacing w:before="120"/>
      </w:pPr>
      <w:r>
        <w:t>The following witnesses were sworn and examined:</w:t>
      </w:r>
    </w:p>
    <w:p w14:paraId="2AC43321" w14:textId="77777777" w:rsidR="00C60BBE" w:rsidRDefault="00C60BBE" w:rsidP="00C60BBE">
      <w:pPr>
        <w:pStyle w:val="AppxMinutesBullet"/>
      </w:pPr>
      <w:r>
        <w:t>Dr Hermione Parsons, Chief Executive Officer and Managing Director, Australian Logistics Council (via videoconference)</w:t>
      </w:r>
    </w:p>
    <w:p w14:paraId="43EA3ED2" w14:textId="77777777" w:rsidR="00C60BBE" w:rsidRDefault="00C60BBE" w:rsidP="00C60BBE">
      <w:pPr>
        <w:pStyle w:val="AppxMinutesBullet"/>
      </w:pPr>
      <w:r>
        <w:t>Mr David Frith, Director Policy, NSW Mining (NSW Minerals Council).</w:t>
      </w:r>
    </w:p>
    <w:p w14:paraId="0C78E339" w14:textId="77777777" w:rsidR="00C60BBE" w:rsidRDefault="00C60BBE" w:rsidP="00C60BBE">
      <w:pPr>
        <w:pStyle w:val="AppxMinutesBodySingle"/>
        <w:spacing w:before="120"/>
      </w:pPr>
      <w:r>
        <w:t>The evidence concluded and the witnesses withdrew.</w:t>
      </w:r>
    </w:p>
    <w:p w14:paraId="14B1A886" w14:textId="77777777" w:rsidR="00C60BBE" w:rsidRDefault="00C60BBE" w:rsidP="00C60BBE">
      <w:pPr>
        <w:pStyle w:val="AppxMinutesBullet"/>
        <w:numPr>
          <w:ilvl w:val="0"/>
          <w:numId w:val="0"/>
        </w:numPr>
        <w:tabs>
          <w:tab w:val="left" w:pos="720"/>
        </w:tabs>
        <w:spacing w:before="120"/>
        <w:ind w:left="851" w:hanging="284"/>
      </w:pPr>
      <w:r>
        <w:lastRenderedPageBreak/>
        <w:t>The following witnesses were sworn and examined:</w:t>
      </w:r>
    </w:p>
    <w:p w14:paraId="7E9AD399" w14:textId="77777777" w:rsidR="00C60BBE" w:rsidRDefault="00C60BBE" w:rsidP="00C60BBE">
      <w:pPr>
        <w:pStyle w:val="AppxMinutesBullet"/>
      </w:pPr>
      <w:r>
        <w:t xml:space="preserve">Ms Francesca </w:t>
      </w:r>
      <w:proofErr w:type="spellStart"/>
      <w:r>
        <w:t>Muskovic</w:t>
      </w:r>
      <w:proofErr w:type="spellEnd"/>
      <w:r>
        <w:t>, National Policy Director, Property Council of Australia (via videoconference)</w:t>
      </w:r>
    </w:p>
    <w:p w14:paraId="14B49A42" w14:textId="77777777" w:rsidR="00C60BBE" w:rsidRDefault="00C60BBE" w:rsidP="00C60BBE">
      <w:pPr>
        <w:pStyle w:val="AppxMinutesBullet"/>
      </w:pPr>
      <w:r>
        <w:t>Ms Alison Scotland, Chief Executive Officer, Australian Sustainable Built Environment Council</w:t>
      </w:r>
    </w:p>
    <w:p w14:paraId="6F8E8B3F" w14:textId="77777777" w:rsidR="00C60BBE" w:rsidRDefault="00C60BBE" w:rsidP="00C60BBE">
      <w:pPr>
        <w:pStyle w:val="AppxMinutesBullet"/>
      </w:pPr>
      <w:r>
        <w:t>Mr Tennant Reed, Director, Climate Change and Energy, Australian Industry Group (via videoconference).</w:t>
      </w:r>
    </w:p>
    <w:p w14:paraId="4A80F5B5" w14:textId="77777777" w:rsidR="00C60BBE" w:rsidRDefault="00C60BBE" w:rsidP="00C60BBE">
      <w:pPr>
        <w:pStyle w:val="AppxMinutesBodySingle"/>
        <w:spacing w:before="120"/>
      </w:pPr>
      <w:r>
        <w:t>The evidence concluded and the witnesses withdrew.</w:t>
      </w:r>
    </w:p>
    <w:p w14:paraId="505F0A7A" w14:textId="77777777" w:rsidR="00C60BBE" w:rsidRDefault="00C60BBE" w:rsidP="00C60BBE">
      <w:pPr>
        <w:pStyle w:val="AppxMinutesBodySingle"/>
        <w:spacing w:before="120"/>
      </w:pPr>
      <w:r>
        <w:t>The following witnesses were sworn and examined:</w:t>
      </w:r>
    </w:p>
    <w:p w14:paraId="6921CF79" w14:textId="77777777" w:rsidR="00C60BBE" w:rsidRDefault="00C60BBE" w:rsidP="00C60BBE">
      <w:pPr>
        <w:pStyle w:val="AppxMinutesBullet"/>
      </w:pPr>
      <w:r>
        <w:t>Mr Raymond Kelly, Chairperson and Councillor for Sydney-Newcastle Region, NSW Aboriginal Land Council</w:t>
      </w:r>
    </w:p>
    <w:p w14:paraId="5121370A" w14:textId="77777777" w:rsidR="00C60BBE" w:rsidRDefault="00C60BBE" w:rsidP="00C60BBE">
      <w:pPr>
        <w:pStyle w:val="AppxMinutesBullet"/>
      </w:pPr>
      <w:r>
        <w:t xml:space="preserve">Mr Stephen </w:t>
      </w:r>
      <w:proofErr w:type="spellStart"/>
      <w:r>
        <w:t>Hynd</w:t>
      </w:r>
      <w:proofErr w:type="spellEnd"/>
      <w:r>
        <w:t>, Executive Director, NSW Aboriginal Land Council.</w:t>
      </w:r>
    </w:p>
    <w:p w14:paraId="02494B8F" w14:textId="77777777" w:rsidR="00C60BBE" w:rsidRDefault="00C60BBE" w:rsidP="00C60BBE">
      <w:pPr>
        <w:pStyle w:val="AppxMinutesBodySingle"/>
        <w:spacing w:before="120"/>
      </w:pPr>
      <w:r>
        <w:t>The evidence concluded and the witnesses withdrew.</w:t>
      </w:r>
    </w:p>
    <w:p w14:paraId="50E46705" w14:textId="77777777" w:rsidR="00C60BBE" w:rsidRDefault="00C60BBE" w:rsidP="00C60BBE">
      <w:pPr>
        <w:pStyle w:val="AppxMinutesBodySingle"/>
        <w:spacing w:before="120"/>
      </w:pPr>
      <w:r>
        <w:t>The following witnesses were sworn and examined:</w:t>
      </w:r>
    </w:p>
    <w:p w14:paraId="6550FBE4" w14:textId="77777777" w:rsidR="00C60BBE" w:rsidRDefault="00C60BBE" w:rsidP="00C60BBE">
      <w:pPr>
        <w:pStyle w:val="AppxMinutesBullet"/>
      </w:pPr>
      <w:r>
        <w:t xml:space="preserve">Dr Jason </w:t>
      </w:r>
      <w:proofErr w:type="spellStart"/>
      <w:r>
        <w:t>Crean</w:t>
      </w:r>
      <w:proofErr w:type="spellEnd"/>
      <w:r>
        <w:t>, A/Group Director of Climate Resources, Agriculture and Biosecurity, Department of Primary Industries and Regional NSW (via videoconference)</w:t>
      </w:r>
    </w:p>
    <w:p w14:paraId="6EDC38D6" w14:textId="77777777" w:rsidR="00C60BBE" w:rsidRDefault="00C60BBE" w:rsidP="00C60BBE">
      <w:pPr>
        <w:pStyle w:val="AppxMinutesBullet"/>
      </w:pPr>
      <w:r>
        <w:t>Dr Annette Cowie, Senior Principal Research Scientist – Climate, Department of Primary Industries and Regional NSW (via videoconference).</w:t>
      </w:r>
    </w:p>
    <w:p w14:paraId="117D4FDF" w14:textId="77777777" w:rsidR="00C60BBE" w:rsidRDefault="00C60BBE" w:rsidP="00C60BBE">
      <w:pPr>
        <w:pStyle w:val="AppxMinutesBody"/>
        <w:spacing w:before="120"/>
      </w:pPr>
      <w:r>
        <w:t>The evidence concluded and the witnesses withdrew.</w:t>
      </w:r>
    </w:p>
    <w:p w14:paraId="0F6DE7AB" w14:textId="77777777" w:rsidR="00C60BBE" w:rsidRDefault="00C60BBE" w:rsidP="00C60BBE">
      <w:pPr>
        <w:pStyle w:val="AppxMinutesBody"/>
      </w:pPr>
      <w:r>
        <w:t xml:space="preserve">Ms </w:t>
      </w:r>
      <w:proofErr w:type="spellStart"/>
      <w:r>
        <w:t>Scruby</w:t>
      </w:r>
      <w:proofErr w:type="spellEnd"/>
      <w:r>
        <w:t xml:space="preserve"> declared that she has a prior friendship with Ms Katerina </w:t>
      </w:r>
      <w:proofErr w:type="spellStart"/>
      <w:r>
        <w:t>Kimmorley</w:t>
      </w:r>
      <w:proofErr w:type="spellEnd"/>
      <w:r>
        <w:t>, Commissioner, Net Zero Commission.</w:t>
      </w:r>
    </w:p>
    <w:p w14:paraId="065D53CE" w14:textId="77777777" w:rsidR="00C60BBE" w:rsidRDefault="00C60BBE" w:rsidP="00C60BBE">
      <w:pPr>
        <w:pStyle w:val="AppxMinutesBodySingle"/>
        <w:spacing w:before="120"/>
      </w:pPr>
      <w:r>
        <w:t>The following witnesses were sworn and examined:</w:t>
      </w:r>
    </w:p>
    <w:p w14:paraId="4564C0A8" w14:textId="77777777" w:rsidR="00C60BBE" w:rsidRDefault="00C60BBE" w:rsidP="00C60BBE">
      <w:pPr>
        <w:pStyle w:val="AppxMinutesBullet"/>
      </w:pPr>
      <w:r>
        <w:t xml:space="preserve">Ms Katerina </w:t>
      </w:r>
      <w:proofErr w:type="spellStart"/>
      <w:r>
        <w:t>Kimmorley</w:t>
      </w:r>
      <w:proofErr w:type="spellEnd"/>
      <w:r>
        <w:t>, Commissioner, Net Zero Commission</w:t>
      </w:r>
    </w:p>
    <w:p w14:paraId="453FB70F" w14:textId="77777777" w:rsidR="00C60BBE" w:rsidRDefault="00C60BBE" w:rsidP="00C60BBE">
      <w:pPr>
        <w:pStyle w:val="AppxMinutesBullet"/>
      </w:pPr>
      <w:r>
        <w:t>Ms Meg McDonald, Commissioner, Net Zero Commission</w:t>
      </w:r>
    </w:p>
    <w:p w14:paraId="385EA5F9" w14:textId="77777777" w:rsidR="00C60BBE" w:rsidRDefault="00C60BBE" w:rsidP="00C60BBE">
      <w:pPr>
        <w:pStyle w:val="AppxMinutesBullet"/>
      </w:pPr>
      <w:r>
        <w:t>Professor Andrew Pitman AO, Commissioner, Net Zero Commission</w:t>
      </w:r>
    </w:p>
    <w:p w14:paraId="22120E09" w14:textId="77777777" w:rsidR="00C60BBE" w:rsidRDefault="00C60BBE" w:rsidP="00C60BBE">
      <w:pPr>
        <w:pStyle w:val="AppxMinutesBullet"/>
      </w:pPr>
      <w:r>
        <w:t xml:space="preserve">Dr Will </w:t>
      </w:r>
      <w:proofErr w:type="spellStart"/>
      <w:r>
        <w:t>Rayward</w:t>
      </w:r>
      <w:proofErr w:type="spellEnd"/>
      <w:r>
        <w:t>-Smith, Executive Director, Net Zero Commission.</w:t>
      </w:r>
    </w:p>
    <w:p w14:paraId="29B13B2C" w14:textId="77777777" w:rsidR="00C60BBE" w:rsidRDefault="00C60BBE" w:rsidP="00C60BBE">
      <w:pPr>
        <w:pStyle w:val="AppxMinutesBodySingle"/>
        <w:spacing w:before="120"/>
      </w:pPr>
      <w:r>
        <w:t>The evidence concluded and the witnesses withdrew.</w:t>
      </w:r>
    </w:p>
    <w:p w14:paraId="0F37E0E7" w14:textId="77777777" w:rsidR="00C60BBE" w:rsidRDefault="00C60BBE" w:rsidP="00C60BBE">
      <w:pPr>
        <w:pStyle w:val="AppxMinutesBodySingle"/>
        <w:spacing w:before="120"/>
      </w:pPr>
      <w:r>
        <w:t>The public hearing concluded at 4.30. The public and the media withdrew.</w:t>
      </w:r>
    </w:p>
    <w:p w14:paraId="6DBBB031" w14:textId="77777777" w:rsidR="00C60BBE" w:rsidRDefault="00C60BBE" w:rsidP="00C60BBE">
      <w:pPr>
        <w:pStyle w:val="AppxMinutesBodySingle"/>
        <w:keepNext/>
        <w:spacing w:before="120"/>
      </w:pPr>
      <w:r>
        <w:t>Resolved on the motion of Ms Higginson: That the committee accept and publish the following documents tendered during the hearing:</w:t>
      </w:r>
    </w:p>
    <w:p w14:paraId="5463436E" w14:textId="77777777" w:rsidR="00C60BBE" w:rsidRDefault="00C60BBE" w:rsidP="00C60BBE">
      <w:pPr>
        <w:pStyle w:val="AppxMinutesBullet"/>
      </w:pPr>
      <w:r>
        <w:t>Lock the Gate Alliance, Closure timeframes for coal mines and workforce impacts scheduled between 2025 and 2050, with source attribution to the NSW Planning Portal and Coal Services, tendered by Mr Nic Clyde</w:t>
      </w:r>
    </w:p>
    <w:p w14:paraId="7F1EC812" w14:textId="77777777" w:rsidR="00C60BBE" w:rsidRDefault="00C60BBE" w:rsidP="00C60BBE">
      <w:pPr>
        <w:pStyle w:val="AppxMinutesBullet"/>
      </w:pPr>
      <w:r>
        <w:t xml:space="preserve">Lock the Gate Alliance, Chart titled ‘Fugitive emissions from coal mining are the only sector projected to increase emissions out to 2030’, with data source attribution to the NSW Department of Climate Change, Energy, Environment and Water </w:t>
      </w:r>
      <w:r>
        <w:rPr>
          <w:i/>
          <w:iCs/>
        </w:rPr>
        <w:t>NSW greenhouse gas emissions projections</w:t>
      </w:r>
      <w:r>
        <w:t xml:space="preserve"> 2023, tendered by Mr Nic Clyde</w:t>
      </w:r>
    </w:p>
    <w:p w14:paraId="5AEE5712" w14:textId="77777777" w:rsidR="00C60BBE" w:rsidRDefault="00C60BBE" w:rsidP="00C60BBE">
      <w:pPr>
        <w:pStyle w:val="AppxMinutesBullet"/>
      </w:pPr>
      <w:r>
        <w:t xml:space="preserve">Lock the Gate Alliance, Chart titled ‘New coal approved annual in NSW since the Paris Agreement vs 21 proposed new coal-mine expansions as </w:t>
      </w:r>
      <w:proofErr w:type="gramStart"/>
      <w:r>
        <w:t>at</w:t>
      </w:r>
      <w:proofErr w:type="gramEnd"/>
      <w:r>
        <w:t xml:space="preserve"> Feb 2025’, tendered by Mr Nic Clyde</w:t>
      </w:r>
    </w:p>
    <w:p w14:paraId="048F2330" w14:textId="77777777" w:rsidR="00C60BBE" w:rsidRDefault="00C60BBE" w:rsidP="00C60BBE">
      <w:pPr>
        <w:pStyle w:val="AppxMinutesBullet"/>
      </w:pPr>
      <w:r>
        <w:t xml:space="preserve">Citizens’ Climate Lobby Australia, Opening statement by the Citizen’s Climate Lobby Australia, tendered by Mr Howard Witt </w:t>
      </w:r>
    </w:p>
    <w:p w14:paraId="02458D28" w14:textId="77777777" w:rsidR="00C60BBE" w:rsidRDefault="00C60BBE" w:rsidP="00C60BBE">
      <w:pPr>
        <w:pStyle w:val="AppxMinutesBullet"/>
      </w:pPr>
      <w:r>
        <w:t>Citizens’ Climate Lobby Australia, ‘A climate dividend for Australians’ tendered by Mr Howard Witt.</w:t>
      </w:r>
    </w:p>
    <w:p w14:paraId="4144EB28" w14:textId="77777777" w:rsidR="00C60BBE" w:rsidRDefault="00C60BBE" w:rsidP="00C60BBE">
      <w:pPr>
        <w:pStyle w:val="AppxMinutesHeadingOne"/>
        <w:numPr>
          <w:ilvl w:val="0"/>
          <w:numId w:val="39"/>
        </w:numPr>
        <w:rPr>
          <w:szCs w:val="24"/>
        </w:rPr>
      </w:pPr>
      <w:r>
        <w:rPr>
          <w:szCs w:val="24"/>
        </w:rPr>
        <w:t>Adjournment</w:t>
      </w:r>
    </w:p>
    <w:p w14:paraId="0BFE3D25" w14:textId="77777777" w:rsidR="00C60BBE" w:rsidRDefault="00C60BBE" w:rsidP="00C60BBE">
      <w:pPr>
        <w:pStyle w:val="AppxMinutesBodySingle"/>
      </w:pPr>
      <w:r>
        <w:t>The committee adjourned at 4.30 pm until 4.00 pm, Friday 21 March 2025 (report deliberative – inquiry into the 2024 Annual Report of the Net Zero Commission).</w:t>
      </w:r>
    </w:p>
    <w:p w14:paraId="337C763B" w14:textId="77777777" w:rsidR="00C60BBE" w:rsidRDefault="00C60BBE" w:rsidP="00C60BBE">
      <w:pPr>
        <w:pStyle w:val="AppxMinutesBody"/>
        <w:rPr>
          <w:szCs w:val="24"/>
        </w:rPr>
      </w:pPr>
    </w:p>
    <w:p w14:paraId="48D07B57" w14:textId="77777777" w:rsidR="00C60BBE" w:rsidRDefault="00C60BBE" w:rsidP="00C60BBE">
      <w:pPr>
        <w:pStyle w:val="AppxMinutesBodySingle"/>
        <w:ind w:left="0"/>
        <w:rPr>
          <w:szCs w:val="24"/>
        </w:rPr>
      </w:pPr>
      <w:r>
        <w:rPr>
          <w:szCs w:val="24"/>
        </w:rPr>
        <w:t>Stephen Fujiwara</w:t>
      </w:r>
    </w:p>
    <w:p w14:paraId="0118A482" w14:textId="77777777" w:rsidR="00C60BBE" w:rsidRDefault="00C60BBE" w:rsidP="00C60BBE">
      <w:pPr>
        <w:pStyle w:val="AppxMinutesBodyBold"/>
        <w:ind w:left="0"/>
        <w:rPr>
          <w:szCs w:val="24"/>
        </w:rPr>
      </w:pPr>
      <w:r>
        <w:rPr>
          <w:szCs w:val="24"/>
        </w:rPr>
        <w:lastRenderedPageBreak/>
        <w:t>Committee Clerk</w:t>
      </w:r>
    </w:p>
    <w:p w14:paraId="296BB1EC" w14:textId="77777777" w:rsidR="00C60BBE" w:rsidRDefault="00C60BBE" w:rsidP="00C60BBE">
      <w:pPr>
        <w:pStyle w:val="AppxMinutesInfo"/>
      </w:pPr>
    </w:p>
    <w:p w14:paraId="23956209" w14:textId="77777777" w:rsidR="00C60BBE" w:rsidRDefault="00C60BBE" w:rsidP="00C60BBE">
      <w:pPr>
        <w:pStyle w:val="AppxSubmissBold"/>
      </w:pPr>
    </w:p>
    <w:p w14:paraId="34DEB432" w14:textId="77777777" w:rsidR="00C60BBE" w:rsidRDefault="00C60BBE" w:rsidP="00C60BBE">
      <w:pPr>
        <w:pStyle w:val="AppxMinutesTitle"/>
      </w:pPr>
      <w:r>
        <w:t>Draft minutes no. 4</w:t>
      </w:r>
    </w:p>
    <w:p w14:paraId="5EB3B7D8" w14:textId="77777777" w:rsidR="00C60BBE" w:rsidRDefault="00C60BBE" w:rsidP="00C60BBE">
      <w:pPr>
        <w:pStyle w:val="AppxMinutesInfo"/>
        <w:rPr>
          <w:szCs w:val="24"/>
        </w:rPr>
      </w:pPr>
      <w:r>
        <w:rPr>
          <w:szCs w:val="24"/>
        </w:rPr>
        <w:t>Friday 21 March 2025</w:t>
      </w:r>
    </w:p>
    <w:p w14:paraId="2FA0BB37" w14:textId="77777777" w:rsidR="00C60BBE" w:rsidRDefault="00C60BBE" w:rsidP="00C60BBE">
      <w:pPr>
        <w:pStyle w:val="AppxMinutesInfo"/>
        <w:rPr>
          <w:szCs w:val="24"/>
        </w:rPr>
      </w:pPr>
      <w:r>
        <w:rPr>
          <w:szCs w:val="24"/>
        </w:rPr>
        <w:t>Joint Standing Committee on Net Zero Future</w:t>
      </w:r>
    </w:p>
    <w:p w14:paraId="443AF1C4" w14:textId="77777777" w:rsidR="00C60BBE" w:rsidRDefault="00C60BBE" w:rsidP="00C60BBE">
      <w:pPr>
        <w:pStyle w:val="AppxMinutesInfo"/>
        <w:rPr>
          <w:szCs w:val="24"/>
        </w:rPr>
      </w:pPr>
      <w:r>
        <w:rPr>
          <w:szCs w:val="24"/>
        </w:rPr>
        <w:t>Room 1043, Parliament House, Sydney at 4.05 pm</w:t>
      </w:r>
    </w:p>
    <w:p w14:paraId="2459BC4E" w14:textId="77777777" w:rsidR="00C60BBE" w:rsidRDefault="00C60BBE" w:rsidP="00C60BBE">
      <w:pPr>
        <w:pStyle w:val="AppxMinutesHeadingOne"/>
        <w:numPr>
          <w:ilvl w:val="0"/>
          <w:numId w:val="41"/>
        </w:numPr>
        <w:rPr>
          <w:szCs w:val="24"/>
        </w:rPr>
      </w:pPr>
      <w:r>
        <w:rPr>
          <w:szCs w:val="24"/>
        </w:rPr>
        <w:t>Members present</w:t>
      </w:r>
    </w:p>
    <w:p w14:paraId="2199B67C" w14:textId="77777777" w:rsidR="00C60BBE" w:rsidRDefault="00C60BBE" w:rsidP="00766F68">
      <w:pPr>
        <w:pStyle w:val="AppxMinutesBody"/>
        <w:spacing w:after="0"/>
        <w:rPr>
          <w:szCs w:val="24"/>
        </w:rPr>
      </w:pPr>
      <w:r>
        <w:rPr>
          <w:szCs w:val="24"/>
        </w:rPr>
        <w:t xml:space="preserve">Mr Buckingham, </w:t>
      </w:r>
      <w:r>
        <w:rPr>
          <w:i/>
          <w:iCs/>
          <w:szCs w:val="24"/>
        </w:rPr>
        <w:t>Chair</w:t>
      </w:r>
    </w:p>
    <w:p w14:paraId="20FA64BA" w14:textId="77777777" w:rsidR="00C60BBE" w:rsidRDefault="00C60BBE" w:rsidP="00766F68">
      <w:pPr>
        <w:pStyle w:val="AppxMinutesBody"/>
        <w:spacing w:after="0"/>
        <w:rPr>
          <w:szCs w:val="24"/>
        </w:rPr>
      </w:pPr>
      <w:r>
        <w:rPr>
          <w:szCs w:val="24"/>
        </w:rPr>
        <w:t xml:space="preserve">Ms Butler, </w:t>
      </w:r>
      <w:r>
        <w:rPr>
          <w:i/>
          <w:iCs/>
          <w:szCs w:val="24"/>
        </w:rPr>
        <w:t xml:space="preserve">Deputy Chair </w:t>
      </w:r>
      <w:r>
        <w:rPr>
          <w:szCs w:val="24"/>
        </w:rPr>
        <w:t>(via videoconference)</w:t>
      </w:r>
    </w:p>
    <w:p w14:paraId="40F6F775" w14:textId="77777777" w:rsidR="00C60BBE" w:rsidRDefault="00C60BBE" w:rsidP="00766F68">
      <w:pPr>
        <w:pStyle w:val="AppxMinutesBody"/>
        <w:spacing w:after="0"/>
        <w:rPr>
          <w:i/>
          <w:szCs w:val="24"/>
        </w:rPr>
      </w:pPr>
      <w:r>
        <w:rPr>
          <w:szCs w:val="24"/>
        </w:rPr>
        <w:t>Mr Buttigieg</w:t>
      </w:r>
      <w:r>
        <w:rPr>
          <w:i/>
          <w:iCs/>
          <w:szCs w:val="24"/>
        </w:rPr>
        <w:t xml:space="preserve"> </w:t>
      </w:r>
      <w:r>
        <w:rPr>
          <w:szCs w:val="24"/>
        </w:rPr>
        <w:t>(via videoconference)</w:t>
      </w:r>
    </w:p>
    <w:p w14:paraId="5D800CB5" w14:textId="77777777" w:rsidR="00C60BBE" w:rsidRDefault="00C60BBE" w:rsidP="00766F68">
      <w:pPr>
        <w:pStyle w:val="AppxMinutesBody"/>
        <w:spacing w:after="0"/>
        <w:rPr>
          <w:szCs w:val="24"/>
        </w:rPr>
      </w:pPr>
      <w:r>
        <w:rPr>
          <w:szCs w:val="24"/>
        </w:rPr>
        <w:t>Ms Doyle</w:t>
      </w:r>
      <w:r>
        <w:rPr>
          <w:i/>
          <w:iCs/>
          <w:szCs w:val="24"/>
        </w:rPr>
        <w:t xml:space="preserve"> </w:t>
      </w:r>
      <w:r>
        <w:rPr>
          <w:szCs w:val="24"/>
        </w:rPr>
        <w:t>(via videoconference)</w:t>
      </w:r>
    </w:p>
    <w:p w14:paraId="1474675B" w14:textId="77777777" w:rsidR="00C60BBE" w:rsidRDefault="00C60BBE" w:rsidP="00766F68">
      <w:pPr>
        <w:pStyle w:val="AppxMinutesBody"/>
        <w:spacing w:after="0"/>
        <w:rPr>
          <w:szCs w:val="24"/>
        </w:rPr>
      </w:pPr>
      <w:r>
        <w:rPr>
          <w:szCs w:val="24"/>
        </w:rPr>
        <w:t>Ms Higginson</w:t>
      </w:r>
      <w:r>
        <w:rPr>
          <w:i/>
          <w:iCs/>
          <w:szCs w:val="24"/>
        </w:rPr>
        <w:t xml:space="preserve"> </w:t>
      </w:r>
      <w:r>
        <w:rPr>
          <w:szCs w:val="24"/>
        </w:rPr>
        <w:t>(via videoconference)</w:t>
      </w:r>
    </w:p>
    <w:p w14:paraId="50ADBB3D" w14:textId="77777777" w:rsidR="00C60BBE" w:rsidRDefault="00C60BBE" w:rsidP="00766F68">
      <w:pPr>
        <w:pStyle w:val="AppxMinutesBody"/>
        <w:spacing w:after="0"/>
        <w:rPr>
          <w:szCs w:val="24"/>
        </w:rPr>
      </w:pPr>
      <w:r>
        <w:rPr>
          <w:szCs w:val="24"/>
        </w:rPr>
        <w:t>Ms Munro (from 4.25 pm)</w:t>
      </w:r>
    </w:p>
    <w:p w14:paraId="33F5014E" w14:textId="77777777" w:rsidR="00C60BBE" w:rsidRDefault="00C60BBE" w:rsidP="00766F68">
      <w:pPr>
        <w:pStyle w:val="AppxMinutesBody"/>
        <w:spacing w:after="0"/>
        <w:rPr>
          <w:szCs w:val="24"/>
        </w:rPr>
      </w:pPr>
      <w:r>
        <w:rPr>
          <w:szCs w:val="24"/>
        </w:rPr>
        <w:t>Mr Murphy</w:t>
      </w:r>
      <w:r>
        <w:rPr>
          <w:i/>
          <w:iCs/>
          <w:szCs w:val="24"/>
        </w:rPr>
        <w:t xml:space="preserve"> </w:t>
      </w:r>
      <w:r>
        <w:rPr>
          <w:szCs w:val="24"/>
        </w:rPr>
        <w:t>(via videoconference)</w:t>
      </w:r>
    </w:p>
    <w:p w14:paraId="593FE7A0" w14:textId="77777777" w:rsidR="00C60BBE" w:rsidRDefault="00C60BBE" w:rsidP="00766F68">
      <w:pPr>
        <w:pStyle w:val="AppxMinutesBody"/>
        <w:spacing w:after="0"/>
        <w:rPr>
          <w:szCs w:val="24"/>
        </w:rPr>
      </w:pPr>
      <w:r>
        <w:rPr>
          <w:szCs w:val="24"/>
        </w:rPr>
        <w:t>Mr Regan</w:t>
      </w:r>
      <w:r>
        <w:rPr>
          <w:i/>
          <w:iCs/>
          <w:szCs w:val="24"/>
        </w:rPr>
        <w:t xml:space="preserve"> </w:t>
      </w:r>
      <w:r>
        <w:rPr>
          <w:szCs w:val="24"/>
        </w:rPr>
        <w:t>(via videoconference)</w:t>
      </w:r>
    </w:p>
    <w:p w14:paraId="03A5BA3F" w14:textId="77777777" w:rsidR="00C60BBE" w:rsidRDefault="00C60BBE" w:rsidP="00766F68">
      <w:pPr>
        <w:pStyle w:val="AppxMinutesBody"/>
        <w:spacing w:after="0"/>
        <w:rPr>
          <w:szCs w:val="24"/>
        </w:rPr>
      </w:pPr>
      <w:r>
        <w:rPr>
          <w:szCs w:val="24"/>
        </w:rPr>
        <w:t>Ms Suvaal</w:t>
      </w:r>
      <w:r>
        <w:rPr>
          <w:i/>
          <w:iCs/>
          <w:szCs w:val="24"/>
        </w:rPr>
        <w:t xml:space="preserve"> </w:t>
      </w:r>
      <w:r>
        <w:rPr>
          <w:szCs w:val="24"/>
        </w:rPr>
        <w:t>(via videoconference)</w:t>
      </w:r>
    </w:p>
    <w:p w14:paraId="07E6C38E" w14:textId="77777777" w:rsidR="00C60BBE" w:rsidRDefault="00C60BBE" w:rsidP="00C60BBE">
      <w:pPr>
        <w:pStyle w:val="AppxMinutesHeadingOne"/>
        <w:numPr>
          <w:ilvl w:val="0"/>
          <w:numId w:val="41"/>
        </w:numPr>
        <w:rPr>
          <w:szCs w:val="24"/>
        </w:rPr>
      </w:pPr>
      <w:r>
        <w:rPr>
          <w:szCs w:val="24"/>
        </w:rPr>
        <w:t>Previous minutes</w:t>
      </w:r>
    </w:p>
    <w:p w14:paraId="3AE8C8B2" w14:textId="77777777" w:rsidR="00C60BBE" w:rsidRDefault="00C60BBE" w:rsidP="00C60BBE">
      <w:pPr>
        <w:pStyle w:val="AppxMinutesBody"/>
      </w:pPr>
      <w:r>
        <w:t>Resolved, on the motion of Ms Doyle: That draft minutes no. 3 be confirmed.</w:t>
      </w:r>
    </w:p>
    <w:p w14:paraId="0F6831A7" w14:textId="77777777" w:rsidR="00C60BBE" w:rsidRDefault="00C60BBE" w:rsidP="00C60BBE">
      <w:pPr>
        <w:pStyle w:val="AppxMinutesHeadingOne"/>
        <w:numPr>
          <w:ilvl w:val="0"/>
          <w:numId w:val="41"/>
        </w:numPr>
        <w:rPr>
          <w:szCs w:val="24"/>
        </w:rPr>
      </w:pPr>
      <w:r>
        <w:rPr>
          <w:szCs w:val="24"/>
        </w:rPr>
        <w:t>Correspondence</w:t>
      </w:r>
    </w:p>
    <w:p w14:paraId="2B45971B" w14:textId="77777777" w:rsidR="00C60BBE" w:rsidRDefault="00C60BBE" w:rsidP="00C60BBE">
      <w:pPr>
        <w:pStyle w:val="AppxMinutesBody"/>
        <w:rPr>
          <w:szCs w:val="24"/>
        </w:rPr>
      </w:pPr>
      <w:r>
        <w:rPr>
          <w:szCs w:val="24"/>
        </w:rPr>
        <w:t>The committee noted the following items of correspondence:</w:t>
      </w:r>
    </w:p>
    <w:p w14:paraId="27C2AC92" w14:textId="77777777" w:rsidR="00C60BBE" w:rsidRDefault="00C60BBE" w:rsidP="00C60BBE">
      <w:pPr>
        <w:pStyle w:val="AppxMinutesBodySingle"/>
        <w:rPr>
          <w:b/>
          <w:i/>
          <w:szCs w:val="24"/>
        </w:rPr>
      </w:pPr>
      <w:r>
        <w:rPr>
          <w:b/>
          <w:i/>
          <w:szCs w:val="24"/>
        </w:rPr>
        <w:t>Received:</w:t>
      </w:r>
    </w:p>
    <w:p w14:paraId="726314A2" w14:textId="77777777" w:rsidR="00C60BBE" w:rsidRDefault="00C60BBE" w:rsidP="00C60BBE">
      <w:pPr>
        <w:pStyle w:val="AppxMinutesBullet"/>
        <w:rPr>
          <w:szCs w:val="24"/>
        </w:rPr>
      </w:pPr>
      <w:r>
        <w:rPr>
          <w:szCs w:val="24"/>
        </w:rPr>
        <w:t xml:space="preserve">18 March 2025 – Email from </w:t>
      </w:r>
      <w:proofErr w:type="spellStart"/>
      <w:r>
        <w:rPr>
          <w:szCs w:val="24"/>
        </w:rPr>
        <w:t>Aristea</w:t>
      </w:r>
      <w:proofErr w:type="spellEnd"/>
      <w:r>
        <w:rPr>
          <w:szCs w:val="24"/>
        </w:rPr>
        <w:t xml:space="preserve"> </w:t>
      </w:r>
      <w:proofErr w:type="spellStart"/>
      <w:r>
        <w:rPr>
          <w:szCs w:val="24"/>
        </w:rPr>
        <w:t>Onisforou</w:t>
      </w:r>
      <w:proofErr w:type="spellEnd"/>
      <w:r>
        <w:rPr>
          <w:szCs w:val="24"/>
        </w:rPr>
        <w:t>, Senior Strategy Officer, Strategy and Policy, NSW Aboriginal Land Council, to the secretariat, requesting an extension until Monday 24 March, to provide the committee with responses to the questions taken on notice during the public hearing on Friday 14 March 2025.</w:t>
      </w:r>
    </w:p>
    <w:p w14:paraId="5E1B8283" w14:textId="77777777" w:rsidR="00C60BBE" w:rsidRDefault="00C60BBE" w:rsidP="00C60BBE">
      <w:pPr>
        <w:pStyle w:val="AppxMinutesBullet"/>
        <w:rPr>
          <w:szCs w:val="24"/>
        </w:rPr>
      </w:pPr>
      <w:r>
        <w:rPr>
          <w:szCs w:val="24"/>
        </w:rPr>
        <w:t xml:space="preserve">20 March 2025 – Email from Ms Sheena </w:t>
      </w:r>
      <w:proofErr w:type="spellStart"/>
      <w:r>
        <w:rPr>
          <w:szCs w:val="24"/>
        </w:rPr>
        <w:t>Fardell</w:t>
      </w:r>
      <w:proofErr w:type="spellEnd"/>
      <w:r>
        <w:rPr>
          <w:szCs w:val="24"/>
        </w:rPr>
        <w:t>, Head of Government and Industry Affairs, Australian Logistics Council, to the secretariat, advising that after review of the transcript arising from, and the questions taken on notice during the public hearing on Friday 14 March 2025, the Australian Logistics Council confirms that the questions were answered on the day, and as such no further answers will be provided.</w:t>
      </w:r>
    </w:p>
    <w:p w14:paraId="606AB893" w14:textId="77777777" w:rsidR="00C60BBE" w:rsidRDefault="00C60BBE" w:rsidP="00C60BBE">
      <w:pPr>
        <w:pStyle w:val="AppxMinutesBodySingle"/>
        <w:rPr>
          <w:b/>
          <w:i/>
          <w:szCs w:val="24"/>
        </w:rPr>
      </w:pPr>
      <w:r>
        <w:rPr>
          <w:b/>
          <w:i/>
          <w:szCs w:val="24"/>
        </w:rPr>
        <w:t>Sent:</w:t>
      </w:r>
    </w:p>
    <w:p w14:paraId="7937C933" w14:textId="77777777" w:rsidR="00C60BBE" w:rsidRDefault="00C60BBE" w:rsidP="00C60BBE">
      <w:pPr>
        <w:pStyle w:val="AppxMinutesBullet"/>
        <w:rPr>
          <w:szCs w:val="24"/>
        </w:rPr>
      </w:pPr>
      <w:r>
        <w:rPr>
          <w:szCs w:val="24"/>
        </w:rPr>
        <w:t xml:space="preserve">18 March 2024 – Email from the secretariat to </w:t>
      </w:r>
      <w:proofErr w:type="spellStart"/>
      <w:r>
        <w:rPr>
          <w:szCs w:val="24"/>
        </w:rPr>
        <w:t>Aristea</w:t>
      </w:r>
      <w:proofErr w:type="spellEnd"/>
      <w:r>
        <w:rPr>
          <w:szCs w:val="24"/>
        </w:rPr>
        <w:t xml:space="preserve"> </w:t>
      </w:r>
      <w:proofErr w:type="spellStart"/>
      <w:r>
        <w:rPr>
          <w:szCs w:val="24"/>
        </w:rPr>
        <w:t>Onisforou</w:t>
      </w:r>
      <w:proofErr w:type="spellEnd"/>
      <w:r>
        <w:rPr>
          <w:szCs w:val="24"/>
        </w:rPr>
        <w:t>, Senior Strategy Officer, Strategy and Policy, NSW Aboriginal Land Council, advising the chair has approved the requested extension of time until Monday 24 March 2025 to provide the committee with responses to the questions taken on notice during the public hearing on Friday 14 March 2025, while also noting that late responses may not be incorporated into the final report of the inquiry.</w:t>
      </w:r>
    </w:p>
    <w:p w14:paraId="6C2E95A6" w14:textId="77777777" w:rsidR="00C60BBE" w:rsidRDefault="00C60BBE" w:rsidP="00C60BBE">
      <w:pPr>
        <w:pStyle w:val="AppxMinutesHeadingOne"/>
        <w:keepNext/>
        <w:numPr>
          <w:ilvl w:val="0"/>
          <w:numId w:val="41"/>
        </w:numPr>
        <w:rPr>
          <w:szCs w:val="24"/>
        </w:rPr>
      </w:pPr>
      <w:r>
        <w:rPr>
          <w:szCs w:val="24"/>
        </w:rPr>
        <w:t>Inquiry into the 2024 Annual Report of the Net Zero Commission</w:t>
      </w:r>
    </w:p>
    <w:p w14:paraId="522FDF57" w14:textId="49A729E2" w:rsidR="00C60BBE" w:rsidRDefault="00FD7B00" w:rsidP="00C60BBE">
      <w:pPr>
        <w:pStyle w:val="AppxMinutesHeadingTwo"/>
        <w:numPr>
          <w:ilvl w:val="1"/>
          <w:numId w:val="41"/>
        </w:numPr>
        <w:ind w:left="1134"/>
        <w:rPr>
          <w:szCs w:val="24"/>
        </w:rPr>
      </w:pPr>
      <w:r>
        <w:rPr>
          <w:szCs w:val="24"/>
        </w:rPr>
        <w:t>4.1</w:t>
      </w:r>
      <w:r>
        <w:rPr>
          <w:szCs w:val="24"/>
        </w:rPr>
        <w:tab/>
      </w:r>
      <w:r w:rsidR="00C60BBE">
        <w:rPr>
          <w:szCs w:val="24"/>
        </w:rPr>
        <w:t>Public submissions</w:t>
      </w:r>
    </w:p>
    <w:p w14:paraId="1197E4F3" w14:textId="77777777" w:rsidR="00C60BBE" w:rsidRDefault="00C60BBE" w:rsidP="00C60BBE">
      <w:pPr>
        <w:pStyle w:val="AppxMinutesBody"/>
      </w:pPr>
      <w:r>
        <w:t>The committee noted the following submission was published by the committee clerk under the authorisation of the resolution appointing the committee: submission no. 88.</w:t>
      </w:r>
    </w:p>
    <w:p w14:paraId="0B36F7AD" w14:textId="018C1EE9" w:rsidR="00C60BBE" w:rsidRDefault="00FD7B00" w:rsidP="00C60BBE">
      <w:pPr>
        <w:pStyle w:val="AppxMinutesHeadingTwo"/>
        <w:numPr>
          <w:ilvl w:val="1"/>
          <w:numId w:val="41"/>
        </w:numPr>
        <w:ind w:left="1134"/>
        <w:rPr>
          <w:szCs w:val="24"/>
        </w:rPr>
      </w:pPr>
      <w:r>
        <w:rPr>
          <w:szCs w:val="24"/>
        </w:rPr>
        <w:t>4.2</w:t>
      </w:r>
      <w:r>
        <w:rPr>
          <w:szCs w:val="24"/>
        </w:rPr>
        <w:tab/>
      </w:r>
      <w:r w:rsidR="00C60BBE">
        <w:rPr>
          <w:szCs w:val="24"/>
        </w:rPr>
        <w:t>Answers to questions on notice</w:t>
      </w:r>
    </w:p>
    <w:p w14:paraId="56C86091" w14:textId="77777777" w:rsidR="00C60BBE" w:rsidRDefault="00C60BBE" w:rsidP="00C60BBE">
      <w:pPr>
        <w:pStyle w:val="AppxMinutesBody"/>
      </w:pPr>
      <w:r>
        <w:t>Resolved, on the motion of Ms Higginson: That the committee authorise the publication of:</w:t>
      </w:r>
    </w:p>
    <w:p w14:paraId="602D87C5" w14:textId="77777777" w:rsidR="00C60BBE" w:rsidRDefault="00C60BBE" w:rsidP="00C60BBE">
      <w:pPr>
        <w:pStyle w:val="AppxMinutesBullet"/>
      </w:pPr>
      <w:r>
        <w:t>Answers to questions on notice from Mr Nic Clyde, NSW Coordinator, Lock the Gate Alliance, received 18 March 2025</w:t>
      </w:r>
    </w:p>
    <w:p w14:paraId="4DBE7C63" w14:textId="77777777" w:rsidR="00C60BBE" w:rsidRDefault="00C60BBE" w:rsidP="00C60BBE">
      <w:pPr>
        <w:pStyle w:val="AppxMinutesBullet"/>
      </w:pPr>
      <w:r>
        <w:t xml:space="preserve">Answers to questions on notice from Dr Jason </w:t>
      </w:r>
      <w:proofErr w:type="spellStart"/>
      <w:r>
        <w:t>Crean</w:t>
      </w:r>
      <w:proofErr w:type="spellEnd"/>
      <w:r>
        <w:t>, A/Group Director Climate &amp; Natural Resources, NSW Department of Primary Industries and Regional Development, received 18 March 2025</w:t>
      </w:r>
    </w:p>
    <w:p w14:paraId="1FB6CA6B" w14:textId="77777777" w:rsidR="00C60BBE" w:rsidRDefault="00C60BBE" w:rsidP="00C60BBE">
      <w:pPr>
        <w:pStyle w:val="AppxMinutesBullet"/>
      </w:pPr>
      <w:r>
        <w:lastRenderedPageBreak/>
        <w:t xml:space="preserve">Answers to questions on notice from Dr Will </w:t>
      </w:r>
      <w:proofErr w:type="spellStart"/>
      <w:r>
        <w:t>Rayward</w:t>
      </w:r>
      <w:proofErr w:type="spellEnd"/>
      <w:r>
        <w:t>-Smith, Executive Director, NSW Net Zero Commission, received 18 March 2025</w:t>
      </w:r>
    </w:p>
    <w:p w14:paraId="4280264A" w14:textId="77777777" w:rsidR="00C60BBE" w:rsidRDefault="00C60BBE" w:rsidP="00C60BBE">
      <w:pPr>
        <w:pStyle w:val="AppxMinutesBullet"/>
      </w:pPr>
      <w:r>
        <w:t>Answers to questions on notice from Ms Alison Scotland, Chief Executive Officer, Australian Sustainable Built Environment Council, received 18 March 2025</w:t>
      </w:r>
    </w:p>
    <w:p w14:paraId="4949C04C" w14:textId="77777777" w:rsidR="00C60BBE" w:rsidRDefault="00C60BBE" w:rsidP="00C60BBE">
      <w:pPr>
        <w:pStyle w:val="AppxMinutesBullet"/>
      </w:pPr>
      <w:r>
        <w:t>Answers to questions on notice from Mr Richard Weller, Director, Citizens' Climate Lobby Australia, received 19 March 2025.</w:t>
      </w:r>
    </w:p>
    <w:p w14:paraId="2D62EE2A" w14:textId="707A9F3C" w:rsidR="00C60BBE" w:rsidRDefault="00FD7B00" w:rsidP="00C60BBE">
      <w:pPr>
        <w:pStyle w:val="AppxMinutesHeadingTwo"/>
        <w:numPr>
          <w:ilvl w:val="1"/>
          <w:numId w:val="41"/>
        </w:numPr>
        <w:ind w:left="1134"/>
        <w:rPr>
          <w:szCs w:val="24"/>
        </w:rPr>
      </w:pPr>
      <w:r>
        <w:rPr>
          <w:szCs w:val="24"/>
        </w:rPr>
        <w:t>4.3</w:t>
      </w:r>
      <w:r>
        <w:rPr>
          <w:szCs w:val="24"/>
        </w:rPr>
        <w:tab/>
      </w:r>
      <w:r w:rsidR="00C60BBE">
        <w:rPr>
          <w:szCs w:val="24"/>
        </w:rPr>
        <w:t>Consideration of the Chair’s draft report</w:t>
      </w:r>
    </w:p>
    <w:p w14:paraId="475790D5" w14:textId="77777777" w:rsidR="00C60BBE" w:rsidRDefault="00C60BBE" w:rsidP="00C60BBE">
      <w:pPr>
        <w:pStyle w:val="AppxMinutesBody"/>
      </w:pPr>
      <w:r>
        <w:t xml:space="preserve">The Chair submitted his draft report entitled </w:t>
      </w:r>
      <w:r>
        <w:rPr>
          <w:i/>
          <w:iCs/>
        </w:rPr>
        <w:t>2024 Annual Report of the Net Zero Commission</w:t>
      </w:r>
      <w:r>
        <w:t>, which, having been previously circulated, was taken as being read.</w:t>
      </w:r>
    </w:p>
    <w:p w14:paraId="38171D7C" w14:textId="77777777" w:rsidR="00C60BBE" w:rsidRDefault="00C60BBE" w:rsidP="00C60BBE">
      <w:pPr>
        <w:pStyle w:val="AppxMinutesBody"/>
      </w:pPr>
      <w:r>
        <w:t>Resolved, on the motion of Ms Higginson: That paragraph 2.38 be amended by inserting ‘largely due to the closure of several 'gassy' underground coal mines,’ before ‘there has been a 34 per cent decline in direct emissions from the resources sector since 2005’.</w:t>
      </w:r>
    </w:p>
    <w:p w14:paraId="59CDBB8E" w14:textId="77777777" w:rsidR="00C60BBE" w:rsidRDefault="00C60BBE" w:rsidP="00C60BBE">
      <w:pPr>
        <w:pStyle w:val="AppxMinutesBody"/>
      </w:pPr>
      <w:r>
        <w:t>Resolved, on the motion of Ms Higginson: That the following new paragraph be inserted after paragraph 2.78:</w:t>
      </w:r>
    </w:p>
    <w:p w14:paraId="44A118F8" w14:textId="77777777" w:rsidR="00C60BBE" w:rsidRDefault="00C60BBE" w:rsidP="00C60BBE">
      <w:pPr>
        <w:pStyle w:val="AppxMinutesBody"/>
        <w:ind w:left="720"/>
      </w:pPr>
      <w:r>
        <w:t>‘The Joint Standing Committee notes the Net Zero Commission’s commitment to ‘closely examine developments in the resources sector', 'given the criticality of this sector for achievement of New South Wales existing and future net zero emissions targets’.’</w:t>
      </w:r>
    </w:p>
    <w:p w14:paraId="1F1912FE" w14:textId="77777777" w:rsidR="00C60BBE" w:rsidRDefault="00C60BBE" w:rsidP="00C60BBE">
      <w:pPr>
        <w:pStyle w:val="AppxMinutesBody"/>
      </w:pPr>
      <w:r>
        <w:t>Resolved, on the motion of Ms Higginson: That the following new finding be inserted after the new paragraph 2.79:</w:t>
      </w:r>
    </w:p>
    <w:p w14:paraId="1FFA6CEC" w14:textId="77777777" w:rsidR="00C60BBE" w:rsidRDefault="00C60BBE" w:rsidP="00C60BBE">
      <w:pPr>
        <w:pStyle w:val="AppxMinutesBody"/>
        <w:ind w:firstLine="153"/>
        <w:rPr>
          <w:b/>
        </w:rPr>
      </w:pPr>
      <w:r>
        <w:t>‘</w:t>
      </w:r>
      <w:r>
        <w:rPr>
          <w:b/>
        </w:rPr>
        <w:t>Finding X</w:t>
      </w:r>
    </w:p>
    <w:p w14:paraId="316E6B24" w14:textId="77777777" w:rsidR="00C60BBE" w:rsidRDefault="00C60BBE" w:rsidP="00C60BBE">
      <w:pPr>
        <w:pStyle w:val="AppxMinutesBody"/>
      </w:pPr>
      <w:r>
        <w:t>This Committee finds that there is considerable uncertainty regarding whether emissions targets can be achieved - particularly the 2030 and 2035 interim targets - given what the Net Zero Commission describes as a ‘sizeable pipeline’ of new coal expansions currently being assessed by the NSW Department of Planning, Housing and Infrastructure.’</w:t>
      </w:r>
    </w:p>
    <w:p w14:paraId="4E5401F3" w14:textId="77777777" w:rsidR="00C60BBE" w:rsidRDefault="00C60BBE" w:rsidP="00C60BBE">
      <w:pPr>
        <w:pStyle w:val="AppxMinutesBody"/>
      </w:pPr>
      <w:r>
        <w:t>Ms Higginson moved: That the following new recommendation be inserted after the new finding:</w:t>
      </w:r>
    </w:p>
    <w:p w14:paraId="07DBA8EA" w14:textId="77777777" w:rsidR="00C60BBE" w:rsidRDefault="00C60BBE" w:rsidP="00C60BBE">
      <w:pPr>
        <w:pStyle w:val="AppxMinutesBody"/>
        <w:ind w:firstLine="153"/>
        <w:rPr>
          <w:b/>
        </w:rPr>
      </w:pPr>
      <w:r>
        <w:rPr>
          <w:b/>
        </w:rPr>
        <w:t>‘Recommendation X</w:t>
      </w:r>
    </w:p>
    <w:p w14:paraId="10EBC020" w14:textId="77777777" w:rsidR="00C60BBE" w:rsidRDefault="00C60BBE" w:rsidP="00C60BBE">
      <w:pPr>
        <w:pStyle w:val="AppxMinutesBody"/>
      </w:pPr>
      <w:r>
        <w:t>That the government supports the Commission to use their legislated functions to provide a further report on the resources sector as a matter of urgency.’</w:t>
      </w:r>
    </w:p>
    <w:p w14:paraId="1E116647" w14:textId="77777777" w:rsidR="00C60BBE" w:rsidRDefault="00C60BBE" w:rsidP="00C60BBE">
      <w:pPr>
        <w:pStyle w:val="AppxMinutesBody"/>
      </w:pPr>
      <w:r>
        <w:t xml:space="preserve">Ms Butler moved: That the motion of Ms Higginson be amended by </w:t>
      </w:r>
      <w:proofErr w:type="gramStart"/>
      <w:r>
        <w:t>inserting  ‘</w:t>
      </w:r>
      <w:proofErr w:type="gramEnd"/>
      <w:r>
        <w:t>, including methane abatement technology and fugitive emissions’ after ‘provide a further report on the resources sector’.</w:t>
      </w:r>
    </w:p>
    <w:p w14:paraId="77F1540B" w14:textId="77777777" w:rsidR="00C60BBE" w:rsidRDefault="00C60BBE" w:rsidP="00C60BBE">
      <w:pPr>
        <w:pStyle w:val="AppxMinutesBody"/>
      </w:pPr>
      <w:r>
        <w:t>Amendment of Ms Butler put and passed.</w:t>
      </w:r>
    </w:p>
    <w:p w14:paraId="210AE6F2" w14:textId="77777777" w:rsidR="00C60BBE" w:rsidRDefault="00C60BBE" w:rsidP="00C60BBE">
      <w:pPr>
        <w:pStyle w:val="AppxMinutesBody"/>
      </w:pPr>
      <w:r>
        <w:t>Original question of Ms Higginson, as amended, put and passed.</w:t>
      </w:r>
    </w:p>
    <w:p w14:paraId="5C615A0B" w14:textId="77777777" w:rsidR="00C60BBE" w:rsidRDefault="00C60BBE" w:rsidP="00C60BBE">
      <w:pPr>
        <w:pStyle w:val="AppxMinutesBody"/>
      </w:pPr>
      <w:r>
        <w:t>Resolved, on the motion of Ms Butler: That the secretariat be authorised to incorporate amendments to the Committee Comment in Chapter 2 relating to low emissions technologies in the transport sector, and energy ratings for existing homes, with the wording of the amendments to be circulated and approved via email unless a meeting is required to resolve any objections.</w:t>
      </w:r>
    </w:p>
    <w:p w14:paraId="256BC210" w14:textId="77777777" w:rsidR="00C60BBE" w:rsidRDefault="00C60BBE" w:rsidP="00C60BBE">
      <w:pPr>
        <w:pStyle w:val="AppxMinutesBody"/>
      </w:pPr>
      <w:r>
        <w:t>Resolved, on the motion of Ms Doyle: That:</w:t>
      </w:r>
    </w:p>
    <w:p w14:paraId="320095C3" w14:textId="77777777" w:rsidR="00C60BBE" w:rsidRDefault="00C60BBE" w:rsidP="00C60BBE">
      <w:pPr>
        <w:pStyle w:val="AppxMinutesBullet"/>
      </w:pPr>
      <w:r>
        <w:t xml:space="preserve">The draft report as amended be the report of the committee and that the committee present the report to the </w:t>
      </w:r>
      <w:proofErr w:type="gramStart"/>
      <w:r>
        <w:t>House;</w:t>
      </w:r>
      <w:proofErr w:type="gramEnd"/>
    </w:p>
    <w:p w14:paraId="5B7E2B49" w14:textId="77777777" w:rsidR="00C60BBE" w:rsidRDefault="00C60BBE" w:rsidP="00C60BBE">
      <w:pPr>
        <w:pStyle w:val="AppxMinutesBullet"/>
        <w:rPr>
          <w:b/>
          <w:bCs/>
        </w:rPr>
      </w:pPr>
      <w:r>
        <w:t xml:space="preserve">The transcripts of evidence, tabled documents, submissions, correspondence, proformas and answers to questions taken on notice relating to the inquiry be tabled in the House with the </w:t>
      </w:r>
      <w:proofErr w:type="gramStart"/>
      <w:r>
        <w:t>report;</w:t>
      </w:r>
      <w:proofErr w:type="gramEnd"/>
    </w:p>
    <w:p w14:paraId="124F7A5F" w14:textId="77777777" w:rsidR="00C60BBE" w:rsidRDefault="00C60BBE" w:rsidP="00C60BBE">
      <w:pPr>
        <w:pStyle w:val="AppxMinutesBullet"/>
      </w:pPr>
      <w:r>
        <w:t xml:space="preserve">Upon tabling, all unpublished attachments to submissions be kept confidential by the </w:t>
      </w:r>
      <w:proofErr w:type="gramStart"/>
      <w:r>
        <w:t>committee;</w:t>
      </w:r>
      <w:proofErr w:type="gramEnd"/>
    </w:p>
    <w:p w14:paraId="0E1642BD" w14:textId="77777777" w:rsidR="00C60BBE" w:rsidRDefault="00C60BBE" w:rsidP="00C60BBE">
      <w:pPr>
        <w:pStyle w:val="AppxMinutesBullet"/>
        <w:rPr>
          <w:b/>
          <w:bCs/>
        </w:rPr>
      </w:pPr>
      <w:r>
        <w:t xml:space="preserve">Upon tabling, all unpublished transcripts of evidence, tabled documents, submissions, correspondence, proformas and answers to questions taken on notice related to the inquiry be published by the committee, except for those documents kept confidential by resolution of the </w:t>
      </w:r>
      <w:proofErr w:type="gramStart"/>
      <w:r>
        <w:t>committee;</w:t>
      </w:r>
      <w:proofErr w:type="gramEnd"/>
    </w:p>
    <w:p w14:paraId="070B174B" w14:textId="77777777" w:rsidR="00C60BBE" w:rsidRDefault="00C60BBE" w:rsidP="00C60BBE">
      <w:pPr>
        <w:pStyle w:val="AppxMinutesBullet"/>
      </w:pPr>
      <w:r>
        <w:lastRenderedPageBreak/>
        <w:t xml:space="preserve">The committee secretariat correct any typographical, grammatical and formatting errors prior to </w:t>
      </w:r>
      <w:proofErr w:type="gramStart"/>
      <w:r>
        <w:t>tabling;</w:t>
      </w:r>
      <w:proofErr w:type="gramEnd"/>
    </w:p>
    <w:p w14:paraId="4F89486D" w14:textId="77777777" w:rsidR="00C60BBE" w:rsidRDefault="00C60BBE" w:rsidP="00C60BBE">
      <w:pPr>
        <w:pStyle w:val="AppxMinutesBullet"/>
      </w:pPr>
      <w:r>
        <w:t xml:space="preserve">The committee secretariat be authorised to update any committee comments where necessary to reflect changes to recommendations or new recommendations resolved by the </w:t>
      </w:r>
      <w:proofErr w:type="gramStart"/>
      <w:r>
        <w:t>committee;</w:t>
      </w:r>
      <w:proofErr w:type="gramEnd"/>
    </w:p>
    <w:p w14:paraId="60AC4F91" w14:textId="77777777" w:rsidR="00C60BBE" w:rsidRDefault="00C60BBE" w:rsidP="00C60BBE">
      <w:pPr>
        <w:pStyle w:val="AppxMinutesBullet"/>
      </w:pPr>
      <w:r>
        <w:t xml:space="preserve">Dissenting statements be provided to the secretariat within 24 hours after receipt of the draft minutes of the </w:t>
      </w:r>
      <w:proofErr w:type="gramStart"/>
      <w:r>
        <w:t>meeting;</w:t>
      </w:r>
      <w:proofErr w:type="gramEnd"/>
      <w:r>
        <w:t xml:space="preserve"> </w:t>
      </w:r>
    </w:p>
    <w:p w14:paraId="4D7562F0" w14:textId="77777777" w:rsidR="00C60BBE" w:rsidRDefault="00C60BBE" w:rsidP="00C60BBE">
      <w:pPr>
        <w:pStyle w:val="AppxMinutesBullet"/>
      </w:pPr>
      <w:r>
        <w:t xml:space="preserve">The secretariat is tabling the report at 11.15 am Friday 28 March </w:t>
      </w:r>
      <w:proofErr w:type="gramStart"/>
      <w:r>
        <w:t>2025;</w:t>
      </w:r>
      <w:proofErr w:type="gramEnd"/>
    </w:p>
    <w:p w14:paraId="2B61754B" w14:textId="77777777" w:rsidR="00C60BBE" w:rsidRDefault="00C60BBE" w:rsidP="00C60BBE">
      <w:pPr>
        <w:pStyle w:val="AppxMinutesBullet"/>
      </w:pPr>
      <w:r>
        <w:t>The Chair to advise the secretariat and members if they intend to hold a press conference, and if so, the date and time.</w:t>
      </w:r>
    </w:p>
    <w:p w14:paraId="54DD8B7F" w14:textId="77777777" w:rsidR="00C60BBE" w:rsidRDefault="00C60BBE" w:rsidP="00C60BBE">
      <w:pPr>
        <w:pStyle w:val="AppxMinutesHeadingOne"/>
        <w:numPr>
          <w:ilvl w:val="0"/>
          <w:numId w:val="41"/>
        </w:numPr>
        <w:rPr>
          <w:szCs w:val="24"/>
        </w:rPr>
      </w:pPr>
      <w:r>
        <w:rPr>
          <w:szCs w:val="24"/>
        </w:rPr>
        <w:t>Adjournment</w:t>
      </w:r>
    </w:p>
    <w:p w14:paraId="523D6B64" w14:textId="77777777" w:rsidR="00C60BBE" w:rsidRDefault="00C60BBE" w:rsidP="00C60BBE">
      <w:pPr>
        <w:pStyle w:val="AppxMinutesBody"/>
        <w:rPr>
          <w:i/>
          <w:iCs/>
        </w:rPr>
      </w:pPr>
      <w:r>
        <w:t xml:space="preserve">The committee adjourned at 4.42 pm, </w:t>
      </w:r>
      <w:r>
        <w:rPr>
          <w:i/>
          <w:iCs/>
        </w:rPr>
        <w:t>sine die.</w:t>
      </w:r>
    </w:p>
    <w:p w14:paraId="194DB685" w14:textId="77777777" w:rsidR="00C60BBE" w:rsidRDefault="00C60BBE" w:rsidP="00C60BBE">
      <w:pPr>
        <w:pStyle w:val="AppxMinutesBody"/>
        <w:rPr>
          <w:szCs w:val="24"/>
        </w:rPr>
      </w:pPr>
    </w:p>
    <w:p w14:paraId="555FC1F7" w14:textId="77777777" w:rsidR="00C60BBE" w:rsidRDefault="00C60BBE" w:rsidP="00C60BBE">
      <w:pPr>
        <w:pStyle w:val="AppxMinutesBodySingle"/>
        <w:ind w:left="0"/>
        <w:rPr>
          <w:szCs w:val="24"/>
        </w:rPr>
      </w:pPr>
      <w:r>
        <w:rPr>
          <w:szCs w:val="24"/>
        </w:rPr>
        <w:t>Stephen Fujiwara</w:t>
      </w:r>
    </w:p>
    <w:p w14:paraId="55A0FCAB" w14:textId="77777777" w:rsidR="00C60BBE" w:rsidRDefault="00C60BBE" w:rsidP="00C60BBE">
      <w:pPr>
        <w:pStyle w:val="AppxMinutesBodyBold"/>
        <w:ind w:left="0"/>
        <w:rPr>
          <w:szCs w:val="24"/>
        </w:rPr>
      </w:pPr>
      <w:r>
        <w:rPr>
          <w:szCs w:val="24"/>
        </w:rPr>
        <w:t>Committee Clerk</w:t>
      </w:r>
    </w:p>
    <w:p w14:paraId="1C0A0118" w14:textId="77777777" w:rsidR="00C60BBE" w:rsidRDefault="00C60BBE" w:rsidP="00C60BBE">
      <w:pPr>
        <w:pStyle w:val="AppxMinutesInfo"/>
      </w:pPr>
    </w:p>
    <w:p w14:paraId="46D8A872" w14:textId="77777777" w:rsidR="00C60BBE" w:rsidRDefault="00C60BBE" w:rsidP="00C60BBE">
      <w:pPr>
        <w:pStyle w:val="AppxSubmissBold"/>
      </w:pPr>
    </w:p>
    <w:p w14:paraId="795D9699" w14:textId="7B95AFB7" w:rsidR="00E64FB8" w:rsidRDefault="00E64FB8">
      <w:pPr>
        <w:rPr>
          <w:sz w:val="24"/>
        </w:rPr>
      </w:pPr>
      <w:r>
        <w:br w:type="page"/>
      </w:r>
    </w:p>
    <w:p w14:paraId="3882EDA0" w14:textId="77777777" w:rsidR="00611732" w:rsidRDefault="00611732" w:rsidP="00014948">
      <w:pPr>
        <w:pStyle w:val="BodyCopy"/>
      </w:pPr>
    </w:p>
    <w:p w14:paraId="36161DD1" w14:textId="77777777" w:rsidR="004A4406" w:rsidRDefault="004A4406" w:rsidP="00014948">
      <w:pPr>
        <w:pStyle w:val="BodyCopy"/>
      </w:pPr>
    </w:p>
    <w:p w14:paraId="75E4DA4E" w14:textId="77777777" w:rsidR="004A4406" w:rsidRDefault="004A4406" w:rsidP="00014948">
      <w:pPr>
        <w:pStyle w:val="BodyCopy"/>
      </w:pPr>
    </w:p>
    <w:p w14:paraId="45FABAFD" w14:textId="77777777" w:rsidR="00611732" w:rsidRPr="0075712B" w:rsidRDefault="00611732" w:rsidP="00014948">
      <w:pPr>
        <w:pStyle w:val="BodyCopy"/>
      </w:pPr>
    </w:p>
    <w:sectPr w:rsidR="00611732" w:rsidRPr="0075712B" w:rsidSect="005F4ECC">
      <w:headerReference w:type="even" r:id="rId29"/>
      <w:headerReference w:type="default" r:id="rId30"/>
      <w:footerReference w:type="even" r:id="rId31"/>
      <w:footerReference w:type="default" r:id="rId32"/>
      <w:footerReference w:type="first" r:id="rId33"/>
      <w:type w:val="oddPage"/>
      <w:pgSz w:w="11907" w:h="16840" w:code="9"/>
      <w:pgMar w:top="2268"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0770" w14:textId="77777777" w:rsidR="00AA6FE1" w:rsidRDefault="00AA6FE1">
      <w:r>
        <w:separator/>
      </w:r>
    </w:p>
  </w:endnote>
  <w:endnote w:type="continuationSeparator" w:id="0">
    <w:p w14:paraId="6451A80A" w14:textId="77777777" w:rsidR="00AA6FE1" w:rsidRDefault="00AA6FE1">
      <w:r>
        <w:continuationSeparator/>
      </w:r>
    </w:p>
  </w:endnote>
  <w:endnote w:type="continuationNotice" w:id="1">
    <w:p w14:paraId="7AFCF395" w14:textId="77777777" w:rsidR="00AA6FE1" w:rsidRDefault="00AA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5F52AE" w14:paraId="5C385759" w14:textId="77777777">
      <w:tc>
        <w:tcPr>
          <w:tcW w:w="9747" w:type="dxa"/>
          <w:tcBorders>
            <w:left w:val="nil"/>
            <w:bottom w:val="nil"/>
            <w:right w:val="nil"/>
          </w:tcBorders>
        </w:tcPr>
        <w:p w14:paraId="6F95ADC5" w14:textId="479958F0" w:rsidR="00CD30CD" w:rsidRPr="005F52AE" w:rsidRDefault="00321B77">
          <w:pPr>
            <w:pStyle w:val="Footer"/>
            <w:tabs>
              <w:tab w:val="left" w:pos="567"/>
              <w:tab w:val="center" w:pos="4820"/>
              <w:tab w:val="right" w:pos="9498"/>
            </w:tabs>
            <w:spacing w:before="40"/>
          </w:pPr>
          <w:r w:rsidRPr="005F52AE">
            <w:rPr>
              <w:rStyle w:val="PageNumber"/>
              <w:sz w:val="24"/>
            </w:rPr>
            <w:fldChar w:fldCharType="begin"/>
          </w:r>
          <w:r w:rsidR="00CD30CD" w:rsidRPr="005F52AE">
            <w:rPr>
              <w:rStyle w:val="PageNumber"/>
              <w:sz w:val="24"/>
            </w:rPr>
            <w:instrText xml:space="preserve"> PAGE </w:instrText>
          </w:r>
          <w:r w:rsidRPr="005F52AE">
            <w:rPr>
              <w:rStyle w:val="PageNumber"/>
              <w:sz w:val="24"/>
            </w:rPr>
            <w:fldChar w:fldCharType="separate"/>
          </w:r>
          <w:r w:rsidR="00473A9E" w:rsidRPr="005F52AE">
            <w:rPr>
              <w:rStyle w:val="PageNumber"/>
              <w:noProof/>
              <w:sz w:val="24"/>
            </w:rPr>
            <w:t>ii</w:t>
          </w:r>
          <w:r w:rsidRPr="005F52AE">
            <w:rPr>
              <w:rStyle w:val="PageNumber"/>
              <w:sz w:val="24"/>
            </w:rPr>
            <w:fldChar w:fldCharType="end"/>
          </w:r>
          <w:r w:rsidR="00CD30CD" w:rsidRPr="005F52AE">
            <w:tab/>
            <w:t xml:space="preserve">Report </w:t>
          </w:r>
          <w:bookmarkStart w:id="42" w:name="ReportNumberEven"/>
          <w:bookmarkEnd w:id="42"/>
          <w:r w:rsidRPr="005F52AE">
            <w:fldChar w:fldCharType="begin"/>
          </w:r>
          <w:r w:rsidR="00E10447" w:rsidRPr="005F52AE">
            <w:instrText xml:space="preserve"> DOCPROPERTY  ReportNumber  \* MERGEFORMAT </w:instrText>
          </w:r>
          <w:r w:rsidRPr="005F52AE">
            <w:fldChar w:fldCharType="separate"/>
          </w:r>
          <w:r w:rsidR="00A358FD">
            <w:t>1</w:t>
          </w:r>
          <w:r w:rsidRPr="005F52AE">
            <w:fldChar w:fldCharType="end"/>
          </w:r>
          <w:r w:rsidR="00CD30CD" w:rsidRPr="005F52AE">
            <w:t xml:space="preserve"> - </w:t>
          </w:r>
          <w:bookmarkStart w:id="43" w:name="MonthYearEven"/>
          <w:bookmarkEnd w:id="43"/>
          <w:r w:rsidR="00B60504">
            <w:t>March 2025</w:t>
          </w:r>
        </w:p>
      </w:tc>
    </w:tr>
  </w:tbl>
  <w:p w14:paraId="787BEA0A" w14:textId="77777777" w:rsidR="00CD30CD" w:rsidRPr="005F52AE" w:rsidRDefault="00CD30CD" w:rsidP="00CD30CD">
    <w:pPr>
      <w:pStyle w:val="Footer"/>
      <w:tabs>
        <w:tab w:val="center" w:pos="5387"/>
        <w:tab w:val="right" w:pos="10915"/>
      </w:tabs>
      <w:ind w:right="360"/>
      <w:rPr>
        <w:sz w:val="2"/>
      </w:rPr>
    </w:pPr>
  </w:p>
  <w:p w14:paraId="44CE7360" w14:textId="77777777" w:rsidR="00CD30CD" w:rsidRPr="005F52AE"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5F52AE" w14:paraId="6F0B516D" w14:textId="77777777">
      <w:tc>
        <w:tcPr>
          <w:tcW w:w="9747" w:type="dxa"/>
          <w:tcBorders>
            <w:left w:val="nil"/>
            <w:bottom w:val="nil"/>
            <w:right w:val="nil"/>
          </w:tcBorders>
        </w:tcPr>
        <w:p w14:paraId="3B6D66BE" w14:textId="4FBDC842" w:rsidR="003D7E4A" w:rsidRPr="005F52AE" w:rsidRDefault="003D7E4A">
          <w:pPr>
            <w:pStyle w:val="Footer"/>
            <w:tabs>
              <w:tab w:val="right" w:pos="8931"/>
              <w:tab w:val="right" w:pos="9497"/>
            </w:tabs>
            <w:spacing w:before="40"/>
            <w:rPr>
              <w:sz w:val="16"/>
            </w:rPr>
          </w:pPr>
          <w:r w:rsidRPr="005F52AE">
            <w:rPr>
              <w:sz w:val="16"/>
            </w:rPr>
            <w:tab/>
          </w:r>
          <w:r w:rsidRPr="005F52AE">
            <w:t xml:space="preserve">Report </w:t>
          </w:r>
          <w:bookmarkStart w:id="44" w:name="ReportNumberOdd"/>
          <w:bookmarkEnd w:id="44"/>
          <w:r w:rsidR="00321B77" w:rsidRPr="005F52AE">
            <w:fldChar w:fldCharType="begin"/>
          </w:r>
          <w:r w:rsidR="00E10447" w:rsidRPr="005F52AE">
            <w:instrText xml:space="preserve"> DOCPROPERTY  ReportNumber  \* MERGEFORMAT </w:instrText>
          </w:r>
          <w:r w:rsidR="00321B77" w:rsidRPr="005F52AE">
            <w:fldChar w:fldCharType="separate"/>
          </w:r>
          <w:r w:rsidR="00A358FD">
            <w:t>1</w:t>
          </w:r>
          <w:r w:rsidR="00321B77" w:rsidRPr="005F52AE">
            <w:fldChar w:fldCharType="end"/>
          </w:r>
          <w:r w:rsidRPr="005F52AE">
            <w:t xml:space="preserve"> -</w:t>
          </w:r>
          <w:r w:rsidR="00B60504">
            <w:t xml:space="preserve"> March 2025</w:t>
          </w:r>
          <w:r w:rsidRPr="005F52AE">
            <w:rPr>
              <w:rStyle w:val="PageNumber"/>
              <w:sz w:val="24"/>
            </w:rPr>
            <w:tab/>
          </w:r>
          <w:r w:rsidR="00321B77" w:rsidRPr="005F52AE">
            <w:rPr>
              <w:rStyle w:val="PageNumber"/>
              <w:sz w:val="24"/>
            </w:rPr>
            <w:fldChar w:fldCharType="begin"/>
          </w:r>
          <w:r w:rsidRPr="005F52AE">
            <w:rPr>
              <w:rStyle w:val="PageNumber"/>
              <w:sz w:val="24"/>
            </w:rPr>
            <w:instrText xml:space="preserve"> PAGE </w:instrText>
          </w:r>
          <w:r w:rsidR="00321B77" w:rsidRPr="005F52AE">
            <w:rPr>
              <w:rStyle w:val="PageNumber"/>
              <w:sz w:val="24"/>
            </w:rPr>
            <w:fldChar w:fldCharType="separate"/>
          </w:r>
          <w:r w:rsidR="001C2ED9" w:rsidRPr="005F52AE">
            <w:rPr>
              <w:rStyle w:val="PageNumber"/>
              <w:noProof/>
              <w:sz w:val="24"/>
            </w:rPr>
            <w:t>iii</w:t>
          </w:r>
          <w:r w:rsidR="00321B77" w:rsidRPr="005F52AE">
            <w:rPr>
              <w:rStyle w:val="PageNumber"/>
              <w:sz w:val="24"/>
            </w:rPr>
            <w:fldChar w:fldCharType="end"/>
          </w:r>
        </w:p>
      </w:tc>
    </w:tr>
  </w:tbl>
  <w:p w14:paraId="203FAA9A" w14:textId="77777777" w:rsidR="003D7E4A" w:rsidRPr="005F52AE"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2605" w14:textId="77777777" w:rsidR="00BE487F" w:rsidRPr="005F52AE"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5F52AE" w14:paraId="56B63B17" w14:textId="77777777">
      <w:tc>
        <w:tcPr>
          <w:tcW w:w="9747" w:type="dxa"/>
          <w:tcBorders>
            <w:left w:val="nil"/>
            <w:bottom w:val="nil"/>
            <w:right w:val="nil"/>
          </w:tcBorders>
        </w:tcPr>
        <w:p w14:paraId="708C701F" w14:textId="442C68D4" w:rsidR="00BE487F" w:rsidRPr="005F52AE" w:rsidRDefault="00611732" w:rsidP="00E56D32">
          <w:pPr>
            <w:pStyle w:val="Footer"/>
            <w:tabs>
              <w:tab w:val="right" w:pos="9356"/>
            </w:tabs>
            <w:spacing w:before="40"/>
          </w:pPr>
          <w:r w:rsidRPr="005F52AE">
            <w:tab/>
          </w:r>
          <w:r w:rsidR="00BE487F" w:rsidRPr="005F52AE">
            <w:t xml:space="preserve">Report </w:t>
          </w:r>
          <w:bookmarkStart w:id="46" w:name="ReportNumber"/>
          <w:bookmarkEnd w:id="46"/>
          <w:r w:rsidR="00321B77" w:rsidRPr="005F52AE">
            <w:fldChar w:fldCharType="begin"/>
          </w:r>
          <w:r w:rsidR="00E10447" w:rsidRPr="005F52AE">
            <w:instrText xml:space="preserve"> DOCPROPERTY  ReportNumber  \* MERGEFORMAT </w:instrText>
          </w:r>
          <w:r w:rsidR="00321B77" w:rsidRPr="005F52AE">
            <w:fldChar w:fldCharType="separate"/>
          </w:r>
          <w:r w:rsidR="00A358FD">
            <w:t>1</w:t>
          </w:r>
          <w:r w:rsidR="00321B77" w:rsidRPr="005F52AE">
            <w:fldChar w:fldCharType="end"/>
          </w:r>
          <w:r w:rsidR="00BE487F" w:rsidRPr="005F52AE">
            <w:t xml:space="preserve"> </w:t>
          </w:r>
          <w:r w:rsidR="00B60504">
            <w:t>–</w:t>
          </w:r>
          <w:r w:rsidR="003B2570" w:rsidRPr="005F52AE">
            <w:t xml:space="preserve"> </w:t>
          </w:r>
          <w:r w:rsidR="00B60504">
            <w:t>March 2025</w:t>
          </w:r>
          <w:r w:rsidR="003B2570" w:rsidRPr="005F52AE">
            <w:t xml:space="preserve"> </w:t>
          </w:r>
          <w:r w:rsidRPr="005F52AE">
            <w:rPr>
              <w:rStyle w:val="PageNumber"/>
              <w:sz w:val="24"/>
            </w:rPr>
            <w:tab/>
          </w:r>
          <w:r w:rsidR="00321B77" w:rsidRPr="005F52AE">
            <w:rPr>
              <w:rStyle w:val="PageNumber"/>
              <w:sz w:val="24"/>
            </w:rPr>
            <w:fldChar w:fldCharType="begin"/>
          </w:r>
          <w:r w:rsidRPr="005F52AE">
            <w:rPr>
              <w:rStyle w:val="PageNumber"/>
              <w:sz w:val="24"/>
            </w:rPr>
            <w:instrText xml:space="preserve"> PAGE </w:instrText>
          </w:r>
          <w:r w:rsidR="00321B77" w:rsidRPr="005F52AE">
            <w:rPr>
              <w:rStyle w:val="PageNumber"/>
              <w:sz w:val="24"/>
            </w:rPr>
            <w:fldChar w:fldCharType="separate"/>
          </w:r>
          <w:r w:rsidR="00050A11" w:rsidRPr="005F52AE">
            <w:rPr>
              <w:rStyle w:val="PageNumber"/>
              <w:noProof/>
              <w:sz w:val="24"/>
            </w:rPr>
            <w:t>i</w:t>
          </w:r>
          <w:r w:rsidR="00321B77" w:rsidRPr="005F52AE">
            <w:rPr>
              <w:rStyle w:val="PageNumber"/>
              <w:sz w:val="24"/>
            </w:rPr>
            <w:fldChar w:fldCharType="end"/>
          </w:r>
        </w:p>
      </w:tc>
    </w:tr>
  </w:tbl>
  <w:p w14:paraId="2805B580" w14:textId="77777777" w:rsidR="00BE487F" w:rsidRPr="005F52AE"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5F52AE" w14:paraId="4017243E" w14:textId="77777777">
      <w:tc>
        <w:tcPr>
          <w:tcW w:w="9747" w:type="dxa"/>
          <w:tcBorders>
            <w:left w:val="nil"/>
            <w:bottom w:val="nil"/>
            <w:right w:val="nil"/>
          </w:tcBorders>
        </w:tcPr>
        <w:p w14:paraId="64EF0170" w14:textId="02B60323" w:rsidR="00F23817" w:rsidRPr="005F52AE" w:rsidRDefault="00321B77">
          <w:pPr>
            <w:pStyle w:val="Footer"/>
            <w:tabs>
              <w:tab w:val="left" w:pos="567"/>
              <w:tab w:val="center" w:pos="4820"/>
              <w:tab w:val="right" w:pos="9498"/>
            </w:tabs>
            <w:spacing w:before="40"/>
          </w:pPr>
          <w:r w:rsidRPr="005F52AE">
            <w:rPr>
              <w:rStyle w:val="PageNumber"/>
              <w:sz w:val="24"/>
            </w:rPr>
            <w:fldChar w:fldCharType="begin"/>
          </w:r>
          <w:r w:rsidR="00F23817" w:rsidRPr="005F52AE">
            <w:rPr>
              <w:rStyle w:val="PageNumber"/>
              <w:sz w:val="24"/>
            </w:rPr>
            <w:instrText xml:space="preserve"> PAGE </w:instrText>
          </w:r>
          <w:r w:rsidRPr="005F52AE">
            <w:rPr>
              <w:rStyle w:val="PageNumber"/>
              <w:sz w:val="24"/>
            </w:rPr>
            <w:fldChar w:fldCharType="separate"/>
          </w:r>
          <w:r w:rsidR="00050A11" w:rsidRPr="005F52AE">
            <w:rPr>
              <w:rStyle w:val="PageNumber"/>
              <w:noProof/>
              <w:sz w:val="24"/>
            </w:rPr>
            <w:t>2</w:t>
          </w:r>
          <w:r w:rsidRPr="005F52AE">
            <w:rPr>
              <w:rStyle w:val="PageNumber"/>
              <w:sz w:val="24"/>
            </w:rPr>
            <w:fldChar w:fldCharType="end"/>
          </w:r>
          <w:r w:rsidR="00F23817" w:rsidRPr="005F52AE">
            <w:tab/>
            <w:t xml:space="preserve">Report </w:t>
          </w:r>
          <w:fldSimple w:instr=" DOCPROPERTY  ReportNumber  \* MERGEFORMAT ">
            <w:r w:rsidR="00A358FD">
              <w:t>1</w:t>
            </w:r>
          </w:fldSimple>
          <w:r w:rsidR="00F23817" w:rsidRPr="005F52AE">
            <w:t xml:space="preserve"> - </w:t>
          </w:r>
          <w:r w:rsidR="005D22E9">
            <w:t>March 2025</w:t>
          </w:r>
        </w:p>
      </w:tc>
    </w:tr>
  </w:tbl>
  <w:p w14:paraId="52D63058" w14:textId="77777777" w:rsidR="00F23817" w:rsidRPr="005F52AE" w:rsidRDefault="00F23817" w:rsidP="00CD30CD">
    <w:pPr>
      <w:pStyle w:val="Footer"/>
      <w:tabs>
        <w:tab w:val="center" w:pos="5387"/>
        <w:tab w:val="right" w:pos="10915"/>
      </w:tabs>
      <w:ind w:right="360"/>
      <w:rPr>
        <w:sz w:val="2"/>
      </w:rPr>
    </w:pPr>
  </w:p>
  <w:p w14:paraId="7E09874B" w14:textId="77777777" w:rsidR="00F23817" w:rsidRPr="005F52AE"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5F52AE" w14:paraId="1ED178E2" w14:textId="77777777">
      <w:tc>
        <w:tcPr>
          <w:tcW w:w="9747" w:type="dxa"/>
          <w:tcBorders>
            <w:left w:val="nil"/>
            <w:bottom w:val="nil"/>
            <w:right w:val="nil"/>
          </w:tcBorders>
        </w:tcPr>
        <w:p w14:paraId="402677DF" w14:textId="5A425BDA" w:rsidR="00F23817" w:rsidRPr="005F52AE" w:rsidRDefault="00F23817" w:rsidP="003B2570">
          <w:pPr>
            <w:pStyle w:val="Footer"/>
            <w:tabs>
              <w:tab w:val="right" w:pos="8931"/>
              <w:tab w:val="right" w:pos="9497"/>
            </w:tabs>
            <w:spacing w:before="40"/>
            <w:rPr>
              <w:sz w:val="16"/>
            </w:rPr>
          </w:pPr>
          <w:r w:rsidRPr="005F52AE">
            <w:rPr>
              <w:sz w:val="16"/>
            </w:rPr>
            <w:tab/>
          </w:r>
          <w:r w:rsidRPr="005F52AE">
            <w:t xml:space="preserve">Report </w:t>
          </w:r>
          <w:fldSimple w:instr=" DOCPROPERTY  ReportNumber  \* MERGEFORMAT ">
            <w:r w:rsidR="00A358FD">
              <w:t>1</w:t>
            </w:r>
          </w:fldSimple>
          <w:r w:rsidRPr="005F52AE">
            <w:t xml:space="preserve"> -</w:t>
          </w:r>
          <w:r w:rsidR="005D22E9">
            <w:t xml:space="preserve"> March 2025</w:t>
          </w:r>
          <w:r w:rsidRPr="005F52AE">
            <w:rPr>
              <w:rStyle w:val="PageNumber"/>
              <w:sz w:val="24"/>
            </w:rPr>
            <w:tab/>
          </w:r>
          <w:r w:rsidR="00321B77" w:rsidRPr="005F52AE">
            <w:rPr>
              <w:rStyle w:val="PageNumber"/>
              <w:sz w:val="24"/>
            </w:rPr>
            <w:fldChar w:fldCharType="begin"/>
          </w:r>
          <w:r w:rsidRPr="005F52AE">
            <w:rPr>
              <w:rStyle w:val="PageNumber"/>
              <w:sz w:val="24"/>
            </w:rPr>
            <w:instrText xml:space="preserve"> PAGE </w:instrText>
          </w:r>
          <w:r w:rsidR="00321B77" w:rsidRPr="005F52AE">
            <w:rPr>
              <w:rStyle w:val="PageNumber"/>
              <w:sz w:val="24"/>
            </w:rPr>
            <w:fldChar w:fldCharType="separate"/>
          </w:r>
          <w:r w:rsidR="00050A11" w:rsidRPr="005F52AE">
            <w:rPr>
              <w:rStyle w:val="PageNumber"/>
              <w:noProof/>
              <w:sz w:val="24"/>
            </w:rPr>
            <w:t>3</w:t>
          </w:r>
          <w:r w:rsidR="00321B77" w:rsidRPr="005F52AE">
            <w:rPr>
              <w:rStyle w:val="PageNumber"/>
              <w:sz w:val="24"/>
            </w:rPr>
            <w:fldChar w:fldCharType="end"/>
          </w:r>
        </w:p>
      </w:tc>
    </w:tr>
  </w:tbl>
  <w:p w14:paraId="65174BE4" w14:textId="77777777" w:rsidR="00F23817" w:rsidRPr="005F52AE"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5F52AE" w14:paraId="78503E02" w14:textId="77777777">
      <w:tc>
        <w:tcPr>
          <w:tcW w:w="9747" w:type="dxa"/>
          <w:tcBorders>
            <w:left w:val="nil"/>
            <w:bottom w:val="nil"/>
            <w:right w:val="nil"/>
          </w:tcBorders>
        </w:tcPr>
        <w:p w14:paraId="353CCB4E" w14:textId="47A66269" w:rsidR="001B0584" w:rsidRPr="005F52AE" w:rsidRDefault="001B0584">
          <w:pPr>
            <w:pStyle w:val="Footer"/>
            <w:tabs>
              <w:tab w:val="right" w:pos="8931"/>
              <w:tab w:val="right" w:pos="9497"/>
            </w:tabs>
            <w:spacing w:before="40"/>
            <w:rPr>
              <w:sz w:val="16"/>
            </w:rPr>
          </w:pPr>
          <w:r w:rsidRPr="005F52AE">
            <w:rPr>
              <w:sz w:val="16"/>
            </w:rPr>
            <w:tab/>
          </w:r>
          <w:r w:rsidRPr="005F52AE">
            <w:t xml:space="preserve">Report </w:t>
          </w:r>
          <w:fldSimple w:instr=" DOCPROPERTY  ReportNumber  \* MERGEFORMAT ">
            <w:r w:rsidR="00A358FD">
              <w:t>1</w:t>
            </w:r>
          </w:fldSimple>
          <w:r w:rsidRPr="005F52AE">
            <w:t xml:space="preserve"> - </w:t>
          </w:r>
          <w:r w:rsidR="00321B77" w:rsidRPr="005F52AE">
            <w:fldChar w:fldCharType="begin"/>
          </w:r>
          <w:r w:rsidRPr="005F52AE">
            <w:instrText xml:space="preserve"> STYLEREF  CoverDate  \* MERGEFORMAT </w:instrText>
          </w:r>
          <w:r w:rsidR="00321B77" w:rsidRPr="005F52AE">
            <w:fldChar w:fldCharType="separate"/>
          </w:r>
          <w:r w:rsidR="00A358FD" w:rsidRPr="00A358FD">
            <w:rPr>
              <w:bCs/>
              <w:noProof/>
              <w:lang w:val="en-US"/>
            </w:rPr>
            <w:t>Published on 28 March 2025 according to Standing Order 238</w:t>
          </w:r>
          <w:r w:rsidR="00321B77" w:rsidRPr="005F52AE">
            <w:fldChar w:fldCharType="end"/>
          </w:r>
          <w:r w:rsidRPr="005F52AE">
            <w:rPr>
              <w:rStyle w:val="PageNumber"/>
              <w:sz w:val="24"/>
            </w:rPr>
            <w:tab/>
          </w:r>
          <w:r w:rsidR="00321B77" w:rsidRPr="005F52AE">
            <w:rPr>
              <w:rStyle w:val="PageNumber"/>
              <w:sz w:val="24"/>
            </w:rPr>
            <w:fldChar w:fldCharType="begin"/>
          </w:r>
          <w:r w:rsidRPr="005F52AE">
            <w:rPr>
              <w:rStyle w:val="PageNumber"/>
              <w:sz w:val="24"/>
            </w:rPr>
            <w:instrText xml:space="preserve"> PAGE </w:instrText>
          </w:r>
          <w:r w:rsidR="00321B77" w:rsidRPr="005F52AE">
            <w:rPr>
              <w:rStyle w:val="PageNumber"/>
              <w:sz w:val="24"/>
            </w:rPr>
            <w:fldChar w:fldCharType="separate"/>
          </w:r>
          <w:r w:rsidR="009A6673" w:rsidRPr="005F52AE">
            <w:rPr>
              <w:rStyle w:val="PageNumber"/>
              <w:noProof/>
              <w:sz w:val="24"/>
            </w:rPr>
            <w:t>1</w:t>
          </w:r>
          <w:r w:rsidR="00321B77" w:rsidRPr="005F52AE">
            <w:rPr>
              <w:rStyle w:val="PageNumber"/>
              <w:sz w:val="24"/>
            </w:rPr>
            <w:fldChar w:fldCharType="end"/>
          </w:r>
        </w:p>
      </w:tc>
    </w:tr>
  </w:tbl>
  <w:p w14:paraId="3967C84A" w14:textId="77777777" w:rsidR="001B0584" w:rsidRPr="005F52AE"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60BBE" w14:paraId="605C6E1F" w14:textId="77777777" w:rsidTr="00C60BBE">
      <w:tc>
        <w:tcPr>
          <w:tcW w:w="9747" w:type="dxa"/>
          <w:tcBorders>
            <w:left w:val="nil"/>
            <w:bottom w:val="nil"/>
            <w:right w:val="nil"/>
          </w:tcBorders>
        </w:tcPr>
        <w:p w14:paraId="60315A27" w14:textId="049A2E62" w:rsidR="00C60BBE" w:rsidRDefault="00C60BBE" w:rsidP="00C60BBE">
          <w:pPr>
            <w:pStyle w:val="Footer"/>
            <w:tabs>
              <w:tab w:val="left" w:pos="567"/>
              <w:tab w:val="center" w:pos="4820"/>
              <w:tab w:val="right" w:pos="9498"/>
            </w:tabs>
            <w:spacing w:before="40"/>
          </w:pP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2</w:t>
          </w:r>
          <w:r>
            <w:rPr>
              <w:rStyle w:val="PageNumber"/>
              <w:sz w:val="24"/>
            </w:rPr>
            <w:fldChar w:fldCharType="end"/>
          </w:r>
          <w:r>
            <w:tab/>
            <w:t xml:space="preserve">Report </w:t>
          </w:r>
          <w:fldSimple w:instr=" DOCPROPERTY  ReportNumber  \* MERGEFORMAT ">
            <w:r w:rsidR="00A358FD" w:rsidRPr="00A358FD">
              <w:rPr>
                <w:lang w:val="en-US"/>
              </w:rPr>
              <w:t>1</w:t>
            </w:r>
          </w:fldSimple>
          <w:r>
            <w:t xml:space="preserve"> - </w:t>
          </w:r>
          <w:r w:rsidR="003036A4">
            <w:t>March 2025</w:t>
          </w:r>
        </w:p>
      </w:tc>
    </w:tr>
  </w:tbl>
  <w:p w14:paraId="54F980F0" w14:textId="77777777" w:rsidR="00C60BBE" w:rsidRDefault="00C60BBE" w:rsidP="00C60BBE">
    <w:pPr>
      <w:pStyle w:val="Footer"/>
      <w:tabs>
        <w:tab w:val="center" w:pos="5387"/>
        <w:tab w:val="right" w:pos="10915"/>
      </w:tabs>
      <w:ind w:right="360"/>
      <w:rPr>
        <w:sz w:val="2"/>
      </w:rPr>
    </w:pPr>
  </w:p>
  <w:p w14:paraId="02D463B0" w14:textId="77777777" w:rsidR="00AC739E" w:rsidRDefault="00AC73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F425" w14:textId="4845BF9A" w:rsidR="00AC739E" w:rsidRDefault="00C60BBE">
    <w:pPr>
      <w:pStyle w:val="Footer"/>
      <w:pBdr>
        <w:top w:val="single" w:sz="4" w:space="1" w:color="auto"/>
      </w:pBdr>
      <w:tabs>
        <w:tab w:val="right" w:pos="9072"/>
      </w:tabs>
      <w:spacing w:before="40"/>
      <w:rPr>
        <w:sz w:val="18"/>
      </w:rPr>
    </w:pPr>
    <w:r>
      <w:rPr>
        <w:sz w:val="18"/>
      </w:rPr>
      <w:tab/>
    </w:r>
    <w:r>
      <w:t xml:space="preserve">Report </w:t>
    </w:r>
    <w:fldSimple w:instr=" DOCPROPERTY  ReportNumber  \* MERGEFORMAT ">
      <w:r w:rsidR="00A358FD" w:rsidRPr="00A358FD">
        <w:rPr>
          <w:lang w:val="en-US"/>
        </w:rPr>
        <w:t>1</w:t>
      </w:r>
    </w:fldSimple>
    <w:r>
      <w:t xml:space="preserve"> </w:t>
    </w:r>
    <w:r w:rsidR="00F83EAB" w:rsidRPr="00F83EAB">
      <w:t>–</w:t>
    </w:r>
    <w:r w:rsidRPr="00F83EAB">
      <w:t xml:space="preserve"> </w:t>
    </w:r>
    <w:r w:rsidR="00F83EAB" w:rsidRPr="00F83EAB">
      <w:t>March 2025</w:t>
    </w:r>
    <w:r>
      <w:rPr>
        <w:rStyle w:val="PageNumbe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79B" w14:textId="77777777" w:rsidR="00CB1881" w:rsidRDefault="00CB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11B3" w14:textId="77777777" w:rsidR="00AA6FE1" w:rsidRDefault="00AA6FE1">
      <w:r>
        <w:separator/>
      </w:r>
    </w:p>
  </w:footnote>
  <w:footnote w:type="continuationSeparator" w:id="0">
    <w:p w14:paraId="7EFE30B1" w14:textId="77777777" w:rsidR="00AA6FE1" w:rsidRDefault="00AA6FE1">
      <w:r>
        <w:continuationSeparator/>
      </w:r>
    </w:p>
  </w:footnote>
  <w:footnote w:type="continuationNotice" w:id="1">
    <w:p w14:paraId="05946257" w14:textId="77777777" w:rsidR="00AA6FE1" w:rsidRDefault="00AA6FE1"/>
  </w:footnote>
  <w:footnote w:id="2">
    <w:p w14:paraId="06EEC202" w14:textId="77777777" w:rsidR="005F52AE" w:rsidRDefault="005F52AE">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11 February 2025</w:t>
      </w:r>
      <w:r w:rsidRPr="002636E9">
        <w:t xml:space="preserve">, p </w:t>
      </w:r>
      <w:r>
        <w:t>1978</w:t>
      </w:r>
      <w:r w:rsidRPr="002636E9">
        <w:t>.</w:t>
      </w:r>
    </w:p>
    <w:p w14:paraId="109571BD" w14:textId="77777777" w:rsidR="005F52AE" w:rsidRDefault="005F52AE">
      <w:pPr>
        <w:pStyle w:val="FootnoteText"/>
      </w:pPr>
    </w:p>
  </w:footnote>
  <w:footnote w:id="3">
    <w:p w14:paraId="50391D2D" w14:textId="29FAB73E" w:rsidR="005F52AE" w:rsidRDefault="005F52AE">
      <w:pPr>
        <w:pStyle w:val="FootnoteText"/>
      </w:pPr>
      <w:r>
        <w:rPr>
          <w:rStyle w:val="FootnoteReference"/>
        </w:rPr>
        <w:footnoteRef/>
      </w:r>
      <w:r>
        <w:t xml:space="preserve"> </w:t>
      </w:r>
      <w:r>
        <w:tab/>
        <w:t xml:space="preserve">NSW Government, </w:t>
      </w:r>
      <w:r w:rsidRPr="00442C6C">
        <w:rPr>
          <w:i/>
          <w:iCs/>
        </w:rPr>
        <w:t>Net Zero Commission</w:t>
      </w:r>
      <w:r>
        <w:t xml:space="preserve"> (2025), </w:t>
      </w:r>
      <w:r w:rsidRPr="00C518A8">
        <w:t>https://www.energy.nsw.gov.au/nsw-plans-and-progress/government-strategies-and-frameworks/net-zero-commission</w:t>
      </w:r>
    </w:p>
  </w:footnote>
  <w:footnote w:id="4">
    <w:p w14:paraId="3A21260F" w14:textId="77777777" w:rsidR="005F52AE" w:rsidRDefault="005F52AE">
      <w:pPr>
        <w:pStyle w:val="FootnoteText"/>
      </w:pPr>
      <w:r>
        <w:rPr>
          <w:rStyle w:val="FootnoteReference"/>
        </w:rPr>
        <w:footnoteRef/>
      </w:r>
      <w:r>
        <w:t xml:space="preserve"> </w:t>
      </w:r>
      <w:r>
        <w:tab/>
      </w:r>
      <w:r w:rsidRPr="00A23051">
        <w:rPr>
          <w:i/>
          <w:iCs/>
        </w:rPr>
        <w:t>Climate Change (Net Zero Future) Act 2023</w:t>
      </w:r>
      <w:r>
        <w:t>, Part 2 (3). Note, t</w:t>
      </w:r>
      <w:r w:rsidRPr="00A62AEA">
        <w:t>he final meeting of the Net Zero Emissions and Clean Economy Board was held 1 May 2024</w:t>
      </w:r>
      <w:r>
        <w:t xml:space="preserve"> (</w:t>
      </w:r>
      <w:r w:rsidRPr="00047B12">
        <w:rPr>
          <w:i/>
          <w:iCs/>
        </w:rPr>
        <w:t>Minutes</w:t>
      </w:r>
      <w:r>
        <w:t xml:space="preserve">, </w:t>
      </w:r>
      <w:r w:rsidRPr="00204613">
        <w:t>Net Zero Emissions and Clean Economy Board</w:t>
      </w:r>
      <w:r>
        <w:t>, 1 May 2024).</w:t>
      </w:r>
    </w:p>
  </w:footnote>
  <w:footnote w:id="5">
    <w:p w14:paraId="24BDD7B5" w14:textId="77777777" w:rsidR="005F52AE" w:rsidRDefault="005F52AE">
      <w:pPr>
        <w:pStyle w:val="FootnoteText"/>
      </w:pPr>
      <w:r>
        <w:rPr>
          <w:rStyle w:val="FootnoteReference"/>
        </w:rPr>
        <w:footnoteRef/>
      </w:r>
      <w:r>
        <w:t xml:space="preserve"> </w:t>
      </w:r>
      <w:r>
        <w:tab/>
        <w:t xml:space="preserve">The Hon Penny Sharpe MLC, </w:t>
      </w:r>
      <w:r w:rsidRPr="00F06BAF">
        <w:t>Minister for Climate Change</w:t>
      </w:r>
      <w:r>
        <w:t>, Second reading speech: Climate Change (Net Zero Future) Bill 2023, 12 October 2023.</w:t>
      </w:r>
    </w:p>
  </w:footnote>
  <w:footnote w:id="6">
    <w:p w14:paraId="2208EE75" w14:textId="77777777" w:rsidR="005F52AE" w:rsidRDefault="005F52AE">
      <w:pPr>
        <w:pStyle w:val="FootnoteText"/>
      </w:pPr>
      <w:r>
        <w:rPr>
          <w:rStyle w:val="FootnoteReference"/>
        </w:rPr>
        <w:footnoteRef/>
      </w:r>
      <w:r>
        <w:t xml:space="preserve"> </w:t>
      </w:r>
      <w:r>
        <w:tab/>
        <w:t xml:space="preserve">The Hon Penny Sharpe MLC, </w:t>
      </w:r>
      <w:r w:rsidRPr="00F06BAF">
        <w:t>Minister for Climate Change</w:t>
      </w:r>
      <w:r>
        <w:t>, Second reading speech: Climate Change (Net Zero Future) Bill 2023, 12 October 2023.</w:t>
      </w:r>
    </w:p>
  </w:footnote>
  <w:footnote w:id="7">
    <w:p w14:paraId="4BB0BEB8" w14:textId="050C968A" w:rsidR="005F52AE" w:rsidRDefault="005F52AE">
      <w:pPr>
        <w:pStyle w:val="FootnoteText"/>
      </w:pPr>
      <w:r>
        <w:rPr>
          <w:rStyle w:val="FootnoteReference"/>
        </w:rPr>
        <w:footnoteRef/>
      </w:r>
      <w:r>
        <w:t xml:space="preserve"> </w:t>
      </w:r>
      <w:r>
        <w:tab/>
      </w:r>
      <w:r w:rsidRPr="00A23051">
        <w:rPr>
          <w:i/>
          <w:iCs/>
        </w:rPr>
        <w:t>Climate Change (Net Zero Future) Act 2023</w:t>
      </w:r>
      <w:r w:rsidR="00551DC5">
        <w:t>,</w:t>
      </w:r>
      <w:r>
        <w:t xml:space="preserve"> s 13 (1).</w:t>
      </w:r>
    </w:p>
  </w:footnote>
  <w:footnote w:id="8">
    <w:p w14:paraId="569165DE" w14:textId="77777777" w:rsidR="005F52AE" w:rsidRDefault="005F52AE">
      <w:pPr>
        <w:pStyle w:val="FootnoteText"/>
      </w:pPr>
      <w:r>
        <w:rPr>
          <w:rStyle w:val="FootnoteReference"/>
        </w:rPr>
        <w:footnoteRef/>
      </w:r>
      <w:r>
        <w:t xml:space="preserve"> </w:t>
      </w:r>
      <w:r>
        <w:tab/>
        <w:t xml:space="preserve">The Hon Penny Sharpe MLC, </w:t>
      </w:r>
      <w:r w:rsidRPr="00F06BAF">
        <w:t>Minister for Climate Change</w:t>
      </w:r>
      <w:r>
        <w:t>, Second reading speech: Climate Change (Net Zero Future) Bill 2023, 12 October 2023.</w:t>
      </w:r>
    </w:p>
  </w:footnote>
  <w:footnote w:id="9">
    <w:p w14:paraId="22FDEB5D" w14:textId="77777777" w:rsidR="005F52AE" w:rsidRDefault="005F52AE">
      <w:pPr>
        <w:pStyle w:val="FootnoteText"/>
      </w:pPr>
      <w:r>
        <w:rPr>
          <w:rStyle w:val="FootnoteReference"/>
        </w:rPr>
        <w:footnoteRef/>
      </w:r>
      <w:r>
        <w:t xml:space="preserve"> </w:t>
      </w:r>
      <w:r>
        <w:tab/>
      </w:r>
      <w:r w:rsidRPr="00A23051">
        <w:rPr>
          <w:i/>
          <w:iCs/>
        </w:rPr>
        <w:t>Climate Change (Net Zero Future) Act 2023</w:t>
      </w:r>
      <w:r>
        <w:t>, s 9 and s 15.</w:t>
      </w:r>
    </w:p>
  </w:footnote>
  <w:footnote w:id="10">
    <w:p w14:paraId="023B0FFA" w14:textId="77777777" w:rsidR="005F52AE" w:rsidRDefault="005F52AE">
      <w:pPr>
        <w:pStyle w:val="FootnoteText"/>
      </w:pPr>
      <w:r>
        <w:rPr>
          <w:rStyle w:val="FootnoteReference"/>
        </w:rPr>
        <w:footnoteRef/>
      </w:r>
      <w:r>
        <w:t xml:space="preserve"> </w:t>
      </w:r>
      <w:r>
        <w:tab/>
        <w:t xml:space="preserve">The Hon Penny Sharpe MLC, </w:t>
      </w:r>
      <w:r w:rsidRPr="00F06BAF">
        <w:t>Minister for Climate Change</w:t>
      </w:r>
      <w:r>
        <w:t xml:space="preserve">, Second reading speech: Climate Change (Net Zero Future) Bill 2023, 12 October 2023; The Hon Jihad Dib MP, </w:t>
      </w:r>
      <w:r w:rsidRPr="00F06BAF">
        <w:t>Minister for Emergency Services</w:t>
      </w:r>
      <w:r>
        <w:t>, Second reading speech: Climate Change (Net Zero Future) Bill 2023, 29 November 2023.</w:t>
      </w:r>
    </w:p>
  </w:footnote>
  <w:footnote w:id="11">
    <w:p w14:paraId="2EE09E59" w14:textId="5C270ABD" w:rsidR="005F52AE" w:rsidRDefault="005F52AE">
      <w:pPr>
        <w:pStyle w:val="FootnoteText"/>
      </w:pPr>
      <w:r>
        <w:rPr>
          <w:rStyle w:val="FootnoteReference"/>
        </w:rPr>
        <w:footnoteRef/>
      </w:r>
      <w:r>
        <w:t xml:space="preserve"> </w:t>
      </w:r>
      <w:r>
        <w:tab/>
      </w:r>
      <w:r w:rsidRPr="005A2FF2">
        <w:rPr>
          <w:i/>
          <w:iCs/>
        </w:rPr>
        <w:t>Climate Change (Net Zero Future) Act 2023</w:t>
      </w:r>
      <w:r w:rsidR="00C62243">
        <w:t>,</w:t>
      </w:r>
      <w:r>
        <w:t xml:space="preserve"> s 9(2).</w:t>
      </w:r>
    </w:p>
  </w:footnote>
  <w:footnote w:id="12">
    <w:p w14:paraId="7A277C78" w14:textId="67EF01FF" w:rsidR="005F52AE" w:rsidRDefault="005F52AE">
      <w:pPr>
        <w:pStyle w:val="FootnoteText"/>
      </w:pPr>
      <w:r>
        <w:rPr>
          <w:rStyle w:val="FootnoteReference"/>
        </w:rPr>
        <w:footnoteRef/>
      </w:r>
      <w:r>
        <w:t xml:space="preserve"> </w:t>
      </w:r>
      <w:r>
        <w:tab/>
      </w:r>
      <w:r w:rsidRPr="005A2FF2">
        <w:rPr>
          <w:i/>
          <w:iCs/>
        </w:rPr>
        <w:t>Climate Change (Net Zero Future) Act 2023</w:t>
      </w:r>
      <w:r w:rsidR="00263C25">
        <w:t>,</w:t>
      </w:r>
      <w:r>
        <w:t xml:space="preserve"> s 12.</w:t>
      </w:r>
    </w:p>
  </w:footnote>
  <w:footnote w:id="13">
    <w:p w14:paraId="57DF0B04" w14:textId="77777777" w:rsidR="005F52AE" w:rsidRDefault="005F52AE">
      <w:pPr>
        <w:pStyle w:val="FootnoteText"/>
      </w:pPr>
      <w:r>
        <w:rPr>
          <w:rStyle w:val="FootnoteReference"/>
        </w:rPr>
        <w:footnoteRef/>
      </w:r>
      <w:r>
        <w:t xml:space="preserve"> </w:t>
      </w:r>
      <w:r>
        <w:tab/>
        <w:t>In accordance with s 13(c) of the Act, t</w:t>
      </w:r>
      <w:r w:rsidRPr="00657DCF">
        <w:t xml:space="preserve">he Commission includes NSW Chief Scientist, Professor Hugh </w:t>
      </w:r>
      <w:proofErr w:type="spellStart"/>
      <w:r w:rsidRPr="00657DCF">
        <w:t>Durrant</w:t>
      </w:r>
      <w:proofErr w:type="spellEnd"/>
      <w:r w:rsidRPr="00657DCF">
        <w:t>-Whyte, as an ex-officio member to provide whole-of-government scientific advice.</w:t>
      </w:r>
      <w:r>
        <w:t xml:space="preserve"> </w:t>
      </w:r>
    </w:p>
  </w:footnote>
  <w:footnote w:id="14">
    <w:p w14:paraId="22B6895F" w14:textId="77777777" w:rsidR="005F52AE" w:rsidRDefault="005F52AE">
      <w:pPr>
        <w:pStyle w:val="FootnoteText"/>
        <w:tabs>
          <w:tab w:val="left" w:pos="1764"/>
        </w:tabs>
      </w:pPr>
      <w:r>
        <w:rPr>
          <w:rStyle w:val="FootnoteReference"/>
        </w:rPr>
        <w:footnoteRef/>
      </w:r>
      <w:r>
        <w:t xml:space="preserve"> </w:t>
      </w:r>
      <w:r>
        <w:tab/>
        <w:t xml:space="preserve">Media release, The Hon Penny Sharpe MLC, Minister </w:t>
      </w:r>
      <w:r w:rsidRPr="00F06BAF">
        <w:t>for Climate Change</w:t>
      </w:r>
      <w:r>
        <w:t>, '</w:t>
      </w:r>
      <w:r w:rsidRPr="003C1F58">
        <w:t>Net Zero Commission launched with inaugural Chair and Commissioner appointments</w:t>
      </w:r>
      <w:r>
        <w:t xml:space="preserve">', </w:t>
      </w:r>
      <w:r w:rsidRPr="004363EF">
        <w:t>9 July 2024</w:t>
      </w:r>
      <w:r>
        <w:t>.</w:t>
      </w:r>
    </w:p>
  </w:footnote>
  <w:footnote w:id="15">
    <w:p w14:paraId="4FC0D116" w14:textId="131AB072" w:rsidR="005F52AE" w:rsidRDefault="005F52AE">
      <w:pPr>
        <w:pStyle w:val="FootnoteText"/>
      </w:pPr>
      <w:r>
        <w:rPr>
          <w:rStyle w:val="FootnoteReference"/>
        </w:rPr>
        <w:footnoteRef/>
      </w:r>
      <w:r>
        <w:t xml:space="preserve"> </w:t>
      </w:r>
      <w:r>
        <w:tab/>
      </w:r>
      <w:r w:rsidRPr="00F81F91">
        <w:rPr>
          <w:i/>
          <w:iCs/>
        </w:rPr>
        <w:t>Climate Change (Net Zero Future) Act 2023</w:t>
      </w:r>
      <w:r w:rsidR="0025715F">
        <w:t>,</w:t>
      </w:r>
      <w:r>
        <w:t xml:space="preserve"> s 16(a).</w:t>
      </w:r>
    </w:p>
  </w:footnote>
  <w:footnote w:id="16">
    <w:p w14:paraId="33220F16" w14:textId="77777777" w:rsidR="005F52AE" w:rsidRDefault="005F52AE">
      <w:pPr>
        <w:pStyle w:val="FootnoteText"/>
      </w:pPr>
      <w:r>
        <w:rPr>
          <w:rStyle w:val="FootnoteReference"/>
        </w:rPr>
        <w:footnoteRef/>
      </w:r>
      <w:r>
        <w:t xml:space="preserve"> </w:t>
      </w:r>
      <w:r>
        <w:tab/>
        <w:t xml:space="preserve">Net Zero Commission, </w:t>
      </w:r>
      <w:r w:rsidRPr="00FA6C75">
        <w:rPr>
          <w:i/>
          <w:iCs/>
        </w:rPr>
        <w:t>2024 Annual Report</w:t>
      </w:r>
      <w:r>
        <w:t xml:space="preserve"> (2024), p 5.</w:t>
      </w:r>
    </w:p>
  </w:footnote>
  <w:footnote w:id="17">
    <w:p w14:paraId="3CA98D84" w14:textId="03B04942" w:rsidR="005F52AE" w:rsidRDefault="005F52AE">
      <w:pPr>
        <w:pStyle w:val="FootnoteText"/>
      </w:pPr>
      <w:r>
        <w:rPr>
          <w:rStyle w:val="FootnoteReference"/>
        </w:rPr>
        <w:footnoteRef/>
      </w:r>
      <w:r>
        <w:t xml:space="preserve"> </w:t>
      </w:r>
      <w:r>
        <w:tab/>
      </w:r>
      <w:r w:rsidRPr="00DB0BF8">
        <w:rPr>
          <w:i/>
          <w:iCs/>
        </w:rPr>
        <w:t>Climate Change (Net Zero Future) Act 2023</w:t>
      </w:r>
      <w:r w:rsidR="0025715F">
        <w:t>,</w:t>
      </w:r>
      <w:r>
        <w:t xml:space="preserve"> s 8(2).</w:t>
      </w:r>
    </w:p>
  </w:footnote>
  <w:footnote w:id="18">
    <w:p w14:paraId="4FA6E894" w14:textId="1A10874F" w:rsidR="005F52AE" w:rsidRDefault="005F52AE">
      <w:pPr>
        <w:pStyle w:val="FootnoteText"/>
      </w:pPr>
      <w:r>
        <w:rPr>
          <w:rStyle w:val="FootnoteReference"/>
        </w:rPr>
        <w:footnoteRef/>
      </w:r>
      <w:r>
        <w:t xml:space="preserve"> </w:t>
      </w:r>
      <w:r>
        <w:tab/>
      </w:r>
      <w:r w:rsidRPr="00DB0BF8">
        <w:rPr>
          <w:i/>
          <w:iCs/>
        </w:rPr>
        <w:t>Climate Change (Net Zero Future) Act 2023</w:t>
      </w:r>
      <w:r w:rsidR="00C51971">
        <w:t>,</w:t>
      </w:r>
      <w:r>
        <w:t xml:space="preserve"> ss 8(3)-(10).</w:t>
      </w:r>
    </w:p>
  </w:footnote>
  <w:footnote w:id="19">
    <w:p w14:paraId="5135579F" w14:textId="7884D003" w:rsidR="005F52AE" w:rsidRDefault="005F52AE">
      <w:pPr>
        <w:pStyle w:val="FootnoteText"/>
      </w:pPr>
      <w:r>
        <w:rPr>
          <w:rStyle w:val="FootnoteReference"/>
        </w:rPr>
        <w:footnoteRef/>
      </w:r>
      <w:r>
        <w:t xml:space="preserve"> </w:t>
      </w:r>
      <w:r>
        <w:tab/>
      </w:r>
      <w:r w:rsidRPr="00DB0BF8">
        <w:rPr>
          <w:i/>
          <w:iCs/>
        </w:rPr>
        <w:t>Climate Change (Net Zero Future) Act 2023</w:t>
      </w:r>
      <w:r w:rsidR="00C51971">
        <w:t>,</w:t>
      </w:r>
      <w:r>
        <w:t xml:space="preserve"> s 21(1).</w:t>
      </w:r>
    </w:p>
  </w:footnote>
  <w:footnote w:id="20">
    <w:p w14:paraId="066F5125" w14:textId="08AB7D92" w:rsidR="005F52AE" w:rsidRDefault="005F52AE">
      <w:pPr>
        <w:pStyle w:val="FootnoteText"/>
      </w:pPr>
      <w:r>
        <w:rPr>
          <w:rStyle w:val="FootnoteReference"/>
        </w:rPr>
        <w:footnoteRef/>
      </w:r>
      <w:r>
        <w:t xml:space="preserve"> </w:t>
      </w:r>
      <w:r>
        <w:tab/>
      </w:r>
      <w:r w:rsidRPr="00DB0BF8">
        <w:rPr>
          <w:i/>
          <w:iCs/>
        </w:rPr>
        <w:t>Climate Change (Net Zero Future) Act 2023</w:t>
      </w:r>
      <w:r w:rsidR="00C51971">
        <w:t>,</w:t>
      </w:r>
      <w:r>
        <w:t xml:space="preserve"> s 20(2).</w:t>
      </w:r>
    </w:p>
  </w:footnote>
  <w:footnote w:id="21">
    <w:p w14:paraId="7788BEDF" w14:textId="47AC842D" w:rsidR="005F52AE" w:rsidRDefault="005F52AE">
      <w:pPr>
        <w:pStyle w:val="FootnoteText"/>
      </w:pPr>
      <w:r>
        <w:rPr>
          <w:rStyle w:val="FootnoteReference"/>
        </w:rPr>
        <w:footnoteRef/>
      </w:r>
      <w:r>
        <w:t xml:space="preserve"> </w:t>
      </w:r>
      <w:r>
        <w:tab/>
      </w:r>
      <w:r w:rsidRPr="00DB0BF8">
        <w:rPr>
          <w:i/>
          <w:iCs/>
        </w:rPr>
        <w:t>Climate Change (Net Zero Future) Act 2023</w:t>
      </w:r>
      <w:r w:rsidR="00C51971">
        <w:t>,</w:t>
      </w:r>
      <w:r>
        <w:t xml:space="preserve"> s 21(4).</w:t>
      </w:r>
    </w:p>
  </w:footnote>
  <w:footnote w:id="22">
    <w:p w14:paraId="540F6753" w14:textId="77777777" w:rsidR="005F52AE" w:rsidRDefault="005F52AE">
      <w:pPr>
        <w:pStyle w:val="FootnoteText"/>
      </w:pPr>
      <w:r>
        <w:rPr>
          <w:rStyle w:val="FootnoteReference"/>
        </w:rPr>
        <w:footnoteRef/>
      </w:r>
      <w:r>
        <w:t xml:space="preserve"> </w:t>
      </w:r>
      <w:r>
        <w:tab/>
        <w:t xml:space="preserve">Net Zero Commission, </w:t>
      </w:r>
      <w:r w:rsidRPr="00FA6C75">
        <w:rPr>
          <w:i/>
          <w:iCs/>
        </w:rPr>
        <w:t>2024 Annual Report</w:t>
      </w:r>
      <w:r>
        <w:t xml:space="preserve"> (2024), p 5.</w:t>
      </w:r>
    </w:p>
  </w:footnote>
  <w:footnote w:id="23">
    <w:p w14:paraId="6DFBADCC" w14:textId="77777777" w:rsidR="005F52AE" w:rsidRDefault="005F52AE">
      <w:pPr>
        <w:pStyle w:val="FootnoteText"/>
      </w:pPr>
      <w:r>
        <w:rPr>
          <w:rStyle w:val="FootnoteReference"/>
        </w:rPr>
        <w:footnoteRef/>
      </w:r>
      <w:r>
        <w:t xml:space="preserve"> </w:t>
      </w:r>
      <w:r>
        <w:tab/>
        <w:t xml:space="preserve">Net Zero Commission, </w:t>
      </w:r>
      <w:r w:rsidRPr="004D1C8A">
        <w:rPr>
          <w:i/>
          <w:iCs/>
        </w:rPr>
        <w:t>2024 Annual Report</w:t>
      </w:r>
      <w:r>
        <w:t xml:space="preserve"> (2024), p 6.</w:t>
      </w:r>
    </w:p>
  </w:footnote>
  <w:footnote w:id="24">
    <w:p w14:paraId="6B47525C" w14:textId="77777777" w:rsidR="005F52AE" w:rsidRPr="00F81E86" w:rsidRDefault="005F52AE">
      <w:pPr>
        <w:pStyle w:val="FootnoteText"/>
      </w:pPr>
      <w:r>
        <w:rPr>
          <w:rStyle w:val="FootnoteReference"/>
        </w:rPr>
        <w:footnoteRef/>
      </w:r>
      <w:r>
        <w:t xml:space="preserve"> </w:t>
      </w:r>
      <w:r>
        <w:tab/>
      </w:r>
      <w:r>
        <w:rPr>
          <w:i/>
          <w:iCs/>
        </w:rPr>
        <w:t xml:space="preserve">Minutes, </w:t>
      </w:r>
      <w:r>
        <w:t>NSW Legislative Council, 11 February 2025, p 1960.</w:t>
      </w:r>
    </w:p>
  </w:footnote>
  <w:footnote w:id="25">
    <w:p w14:paraId="2A2F78F4" w14:textId="77777777" w:rsidR="005F52AE" w:rsidRDefault="005F52AE">
      <w:pPr>
        <w:pStyle w:val="FootnoteText"/>
      </w:pPr>
      <w:r>
        <w:rPr>
          <w:rStyle w:val="FootnoteReference"/>
        </w:rPr>
        <w:footnoteRef/>
      </w:r>
      <w:r>
        <w:t xml:space="preserve"> </w:t>
      </w:r>
      <w:r>
        <w:tab/>
      </w:r>
      <w:r w:rsidRPr="00A41DCF">
        <w:rPr>
          <w:i/>
          <w:iCs/>
        </w:rPr>
        <w:t>Hansard</w:t>
      </w:r>
      <w:r w:rsidRPr="00A41DCF">
        <w:t>, NSW Legislative Council, 11 February 2025, p 51 (Jeremy Buckingham).</w:t>
      </w:r>
    </w:p>
  </w:footnote>
  <w:footnote w:id="26">
    <w:p w14:paraId="7A3FE0E9" w14:textId="77777777" w:rsidR="005F52AE" w:rsidRDefault="005F52AE">
      <w:pPr>
        <w:pStyle w:val="FootnoteText"/>
      </w:pPr>
      <w:r>
        <w:rPr>
          <w:rStyle w:val="FootnoteReference"/>
        </w:rPr>
        <w:footnoteRef/>
      </w:r>
      <w:r>
        <w:t xml:space="preserve"> </w:t>
      </w:r>
      <w:r>
        <w:tab/>
      </w:r>
      <w:r w:rsidRPr="00F375E0">
        <w:rPr>
          <w:i/>
          <w:iCs/>
        </w:rPr>
        <w:t>Minutes</w:t>
      </w:r>
      <w:r>
        <w:t>, NSW Legislative Council, 20 June 2024, pp 1298-1300.</w:t>
      </w:r>
    </w:p>
  </w:footnote>
  <w:footnote w:id="27">
    <w:p w14:paraId="5FF6AE80" w14:textId="08A044E1" w:rsidR="005F558B" w:rsidRDefault="005F558B">
      <w:pPr>
        <w:pStyle w:val="FootnoteText"/>
      </w:pPr>
      <w:r>
        <w:rPr>
          <w:rStyle w:val="FootnoteReference"/>
        </w:rPr>
        <w:footnoteRef/>
      </w:r>
      <w:r>
        <w:t xml:space="preserve"> </w:t>
      </w:r>
      <w:r>
        <w:tab/>
      </w:r>
      <w:r w:rsidRPr="00F375E0">
        <w:rPr>
          <w:i/>
          <w:iCs/>
        </w:rPr>
        <w:t>Minutes</w:t>
      </w:r>
      <w:r>
        <w:t>, NSW Legislative Council, 20 June 2024, pp 1298-1300.</w:t>
      </w:r>
    </w:p>
  </w:footnote>
  <w:footnote w:id="28">
    <w:p w14:paraId="7FA4344A" w14:textId="77777777" w:rsidR="005F52AE" w:rsidRDefault="005F52AE">
      <w:pPr>
        <w:pStyle w:val="FootnoteText"/>
      </w:pPr>
      <w:r>
        <w:rPr>
          <w:rStyle w:val="FootnoteReference"/>
        </w:rPr>
        <w:footnoteRef/>
      </w:r>
      <w:r>
        <w:t xml:space="preserve"> </w:t>
      </w:r>
      <w:r>
        <w:tab/>
      </w:r>
      <w:r w:rsidRPr="0018307A">
        <w:rPr>
          <w:i/>
          <w:iCs/>
        </w:rPr>
        <w:t xml:space="preserve">Votes </w:t>
      </w:r>
      <w:r>
        <w:rPr>
          <w:i/>
          <w:iCs/>
        </w:rPr>
        <w:t>and</w:t>
      </w:r>
      <w:r w:rsidRPr="0018307A">
        <w:rPr>
          <w:i/>
          <w:iCs/>
        </w:rPr>
        <w:t xml:space="preserve"> Proceedings</w:t>
      </w:r>
      <w:r>
        <w:t>, NSW Legislative Assembly, 20 June 2024, pp 704-706.</w:t>
      </w:r>
    </w:p>
  </w:footnote>
  <w:footnote w:id="29">
    <w:p w14:paraId="5976FF94" w14:textId="77777777" w:rsidR="005F52AE" w:rsidRDefault="005F52AE">
      <w:pPr>
        <w:pStyle w:val="FootnoteText"/>
      </w:pPr>
      <w:r>
        <w:rPr>
          <w:rStyle w:val="FootnoteReference"/>
        </w:rPr>
        <w:footnoteRef/>
      </w:r>
      <w:r>
        <w:t xml:space="preserve"> </w:t>
      </w:r>
      <w:r>
        <w:tab/>
      </w:r>
      <w:r>
        <w:rPr>
          <w:i/>
          <w:iCs/>
        </w:rPr>
        <w:t>Hansard,</w:t>
      </w:r>
      <w:r w:rsidRPr="000D2BC1">
        <w:t xml:space="preserve"> NSW Legislative Council, 11 February 2025, p 51 (Jeremy Buckingham).</w:t>
      </w:r>
    </w:p>
  </w:footnote>
  <w:footnote w:id="30">
    <w:p w14:paraId="4537C4FB" w14:textId="77777777" w:rsidR="005F52AE" w:rsidRDefault="005F52AE">
      <w:pPr>
        <w:pStyle w:val="FootnoteText"/>
      </w:pPr>
      <w:r>
        <w:rPr>
          <w:rStyle w:val="FootnoteReference"/>
        </w:rPr>
        <w:footnoteRef/>
      </w:r>
      <w:r>
        <w:t xml:space="preserve"> </w:t>
      </w:r>
      <w:r>
        <w:tab/>
      </w:r>
      <w:r w:rsidRPr="00A564D3">
        <w:t>United Nations Framework Convention on Climate Change</w:t>
      </w:r>
      <w:r>
        <w:t xml:space="preserve"> (UNFCCC), </w:t>
      </w:r>
      <w:r w:rsidRPr="004467BC">
        <w:rPr>
          <w:i/>
          <w:iCs/>
        </w:rPr>
        <w:t>The Paris Agreement</w:t>
      </w:r>
      <w:r>
        <w:t>, Paris Climate Change Conference – November 2015, COP 21.</w:t>
      </w:r>
    </w:p>
  </w:footnote>
  <w:footnote w:id="31">
    <w:p w14:paraId="078CA076" w14:textId="41991D47" w:rsidR="005F52AE" w:rsidRDefault="005F52AE">
      <w:pPr>
        <w:pStyle w:val="FootnoteText"/>
      </w:pPr>
      <w:r>
        <w:rPr>
          <w:rStyle w:val="FootnoteReference"/>
        </w:rPr>
        <w:footnoteRef/>
      </w:r>
      <w:r>
        <w:t xml:space="preserve"> </w:t>
      </w:r>
      <w:r>
        <w:tab/>
      </w:r>
      <w:r w:rsidRPr="00C97DDF">
        <w:rPr>
          <w:i/>
          <w:iCs/>
        </w:rPr>
        <w:t>Climate Change Act 2022</w:t>
      </w:r>
      <w:r>
        <w:t xml:space="preserve"> (</w:t>
      </w:r>
      <w:proofErr w:type="spellStart"/>
      <w:r>
        <w:t>Cth</w:t>
      </w:r>
      <w:proofErr w:type="spellEnd"/>
      <w:r>
        <w:t>)</w:t>
      </w:r>
      <w:r w:rsidR="0019294A">
        <w:t>,</w:t>
      </w:r>
      <w:r>
        <w:t xml:space="preserve"> s 10.</w:t>
      </w:r>
    </w:p>
  </w:footnote>
  <w:footnote w:id="32">
    <w:p w14:paraId="38F48916" w14:textId="77777777" w:rsidR="005F52AE" w:rsidRDefault="005F52AE">
      <w:pPr>
        <w:pStyle w:val="FootnoteText"/>
      </w:pPr>
      <w:r>
        <w:rPr>
          <w:rStyle w:val="FootnoteReference"/>
        </w:rPr>
        <w:footnoteRef/>
      </w:r>
      <w:r>
        <w:t xml:space="preserve"> </w:t>
      </w:r>
      <w:r>
        <w:tab/>
        <w:t xml:space="preserve">NSW Government, </w:t>
      </w:r>
      <w:r w:rsidRPr="00D02674">
        <w:rPr>
          <w:i/>
          <w:iCs/>
        </w:rPr>
        <w:t>NSW Climate Change Policy Framework</w:t>
      </w:r>
      <w:r>
        <w:t xml:space="preserve"> (2016), p 1.</w:t>
      </w:r>
    </w:p>
  </w:footnote>
  <w:footnote w:id="33">
    <w:p w14:paraId="183BF001" w14:textId="77777777" w:rsidR="005F52AE" w:rsidRDefault="005F52AE">
      <w:pPr>
        <w:pStyle w:val="FootnoteText"/>
      </w:pPr>
      <w:r>
        <w:rPr>
          <w:rStyle w:val="FootnoteReference"/>
        </w:rPr>
        <w:footnoteRef/>
      </w:r>
      <w:r>
        <w:t xml:space="preserve"> </w:t>
      </w:r>
      <w:r>
        <w:tab/>
        <w:t xml:space="preserve">NSW Department of Planning, Industry and Environment, </w:t>
      </w:r>
      <w:r w:rsidRPr="004125A1">
        <w:rPr>
          <w:i/>
          <w:iCs/>
        </w:rPr>
        <w:t>Net Zero Plan Stage 1: 2020-2030</w:t>
      </w:r>
      <w:r>
        <w:t xml:space="preserve"> (2020), p 2; Office of Energy and Climate Change, </w:t>
      </w:r>
      <w:r w:rsidRPr="004125A1">
        <w:rPr>
          <w:i/>
          <w:iCs/>
        </w:rPr>
        <w:t>Net Zero Plan Implementation Update 2022</w:t>
      </w:r>
      <w:r>
        <w:t xml:space="preserve"> (2022), pp 6-7.</w:t>
      </w:r>
    </w:p>
  </w:footnote>
  <w:footnote w:id="34">
    <w:p w14:paraId="4E731620" w14:textId="77777777" w:rsidR="005F52AE" w:rsidRDefault="005F52AE">
      <w:pPr>
        <w:pStyle w:val="FootnoteText"/>
      </w:pPr>
      <w:r>
        <w:rPr>
          <w:rStyle w:val="FootnoteReference"/>
        </w:rPr>
        <w:footnoteRef/>
      </w:r>
      <w:r>
        <w:t xml:space="preserve"> </w:t>
      </w:r>
      <w:r>
        <w:tab/>
      </w:r>
      <w:r w:rsidRPr="006F5A37">
        <w:t>NSW Environmental Protection Authority</w:t>
      </w:r>
      <w:r>
        <w:t>,</w:t>
      </w:r>
      <w:r w:rsidRPr="006F5A37">
        <w:rPr>
          <w:i/>
          <w:iCs/>
        </w:rPr>
        <w:t xml:space="preserve"> Climate Change Policy</w:t>
      </w:r>
      <w:r>
        <w:t>, 1 January 2023.</w:t>
      </w:r>
    </w:p>
  </w:footnote>
  <w:footnote w:id="35">
    <w:p w14:paraId="3024B992" w14:textId="77777777" w:rsidR="005F52AE" w:rsidRDefault="005F52AE">
      <w:pPr>
        <w:pStyle w:val="FootnoteText"/>
      </w:pPr>
      <w:r>
        <w:rPr>
          <w:rStyle w:val="FootnoteReference"/>
        </w:rPr>
        <w:footnoteRef/>
      </w:r>
      <w:r>
        <w:t xml:space="preserve"> </w:t>
      </w:r>
      <w:r>
        <w:tab/>
      </w:r>
      <w:r w:rsidRPr="007C5C52">
        <w:rPr>
          <w:i/>
          <w:iCs/>
        </w:rPr>
        <w:t>Climate Change Authority Act 2011</w:t>
      </w:r>
      <w:r>
        <w:rPr>
          <w:i/>
          <w:iCs/>
        </w:rPr>
        <w:t xml:space="preserve"> </w:t>
      </w:r>
      <w:r w:rsidRPr="00CA64B6">
        <w:t>(</w:t>
      </w:r>
      <w:proofErr w:type="spellStart"/>
      <w:r w:rsidRPr="00CA64B6">
        <w:t>Cth</w:t>
      </w:r>
      <w:proofErr w:type="spellEnd"/>
      <w:r w:rsidRPr="00CA64B6">
        <w:t>)</w:t>
      </w:r>
      <w:r>
        <w:t xml:space="preserve">; </w:t>
      </w:r>
      <w:r w:rsidRPr="00F668B9">
        <w:rPr>
          <w:i/>
          <w:iCs/>
        </w:rPr>
        <w:t xml:space="preserve">Climate Change and Greenhouse Emissions Reduction Act 2007 </w:t>
      </w:r>
      <w:r w:rsidRPr="00F668B9">
        <w:t>(SA)</w:t>
      </w:r>
      <w:r w:rsidRPr="00F668B9">
        <w:rPr>
          <w:i/>
          <w:iCs/>
        </w:rPr>
        <w:t xml:space="preserve"> </w:t>
      </w:r>
      <w:r w:rsidRPr="007F0EA4">
        <w:t>ss 9-13</w:t>
      </w:r>
      <w:r>
        <w:rPr>
          <w:i/>
          <w:iCs/>
        </w:rPr>
        <w:t xml:space="preserve">; </w:t>
      </w:r>
      <w:r w:rsidRPr="00F668B9">
        <w:rPr>
          <w:i/>
          <w:iCs/>
        </w:rPr>
        <w:t>Climate Change and Greenhouse Gas Reduction Act 2010</w:t>
      </w:r>
      <w:r w:rsidRPr="00F668B9">
        <w:t xml:space="preserve"> (</w:t>
      </w:r>
      <w:r>
        <w:t>ACT</w:t>
      </w:r>
      <w:r w:rsidRPr="00F668B9">
        <w:t>) ss 16-22.</w:t>
      </w:r>
    </w:p>
  </w:footnote>
  <w:footnote w:id="36">
    <w:p w14:paraId="0BEFD7C1" w14:textId="77777777" w:rsidR="005F52AE" w:rsidRDefault="005F52AE">
      <w:pPr>
        <w:pStyle w:val="FootnoteText"/>
      </w:pPr>
      <w:r w:rsidRPr="00F668B9">
        <w:rPr>
          <w:rStyle w:val="FootnoteReference"/>
        </w:rPr>
        <w:footnoteRef/>
      </w:r>
      <w:r>
        <w:t xml:space="preserve"> </w:t>
      </w:r>
      <w:r>
        <w:tab/>
        <w:t>Portfolio Committee No. 7 - Planning and Environment, NSW Legislative Council,</w:t>
      </w:r>
      <w:r w:rsidRPr="00EB79B2">
        <w:t xml:space="preserve"> </w:t>
      </w:r>
      <w:r w:rsidRPr="00EB79B2">
        <w:rPr>
          <w:i/>
          <w:iCs/>
        </w:rPr>
        <w:t>Climate Change (Net Zero Future) Bill 2023</w:t>
      </w:r>
      <w:r>
        <w:rPr>
          <w:i/>
          <w:iCs/>
        </w:rPr>
        <w:t xml:space="preserve"> </w:t>
      </w:r>
      <w:r>
        <w:t>(2023)</w:t>
      </w:r>
      <w:r w:rsidRPr="00EB79B2">
        <w:t>, p 26</w:t>
      </w:r>
      <w:r>
        <w:t>.</w:t>
      </w:r>
    </w:p>
  </w:footnote>
  <w:footnote w:id="37">
    <w:p w14:paraId="0B34C60E" w14:textId="77777777" w:rsidR="005F52AE" w:rsidRDefault="005F52AE">
      <w:pPr>
        <w:pStyle w:val="FootnoteText"/>
      </w:pPr>
      <w:r>
        <w:rPr>
          <w:rStyle w:val="FootnoteReference"/>
        </w:rPr>
        <w:footnoteRef/>
      </w:r>
      <w:r>
        <w:t xml:space="preserve"> </w:t>
      </w:r>
      <w:r>
        <w:tab/>
        <w:t>For example, two per cent of respondents to the online questionnaire were opposed to the bill.</w:t>
      </w:r>
    </w:p>
  </w:footnote>
  <w:footnote w:id="38">
    <w:p w14:paraId="029ED0BF" w14:textId="77777777" w:rsidR="005F52AE" w:rsidRDefault="005F52AE">
      <w:pPr>
        <w:pStyle w:val="FootnoteText"/>
      </w:pPr>
      <w:r>
        <w:rPr>
          <w:rStyle w:val="FootnoteReference"/>
        </w:rPr>
        <w:footnoteRef/>
      </w:r>
      <w:r>
        <w:t xml:space="preserve"> </w:t>
      </w:r>
      <w:r>
        <w:tab/>
      </w:r>
      <w:r w:rsidRPr="000F755B">
        <w:t xml:space="preserve">Portfolio Committee No. 7 - Planning and Environment, NSW Legislative Council, </w:t>
      </w:r>
      <w:r w:rsidRPr="000F755B">
        <w:rPr>
          <w:i/>
          <w:iCs/>
        </w:rPr>
        <w:t>Climate Change (Net Zero Future) Bill 2023</w:t>
      </w:r>
      <w:r>
        <w:t xml:space="preserve"> (</w:t>
      </w:r>
      <w:r w:rsidRPr="000F755B">
        <w:t>2023</w:t>
      </w:r>
      <w:r>
        <w:t>)</w:t>
      </w:r>
      <w:r w:rsidRPr="000F755B">
        <w:t>, p 1</w:t>
      </w:r>
      <w:r>
        <w:t xml:space="preserve">3. For example, representatives from the </w:t>
      </w:r>
      <w:r w:rsidRPr="00D25765">
        <w:t>ANU Institute for Climate, Energy, and Disaster Solutions</w:t>
      </w:r>
      <w:r>
        <w:t xml:space="preserve">, the </w:t>
      </w:r>
      <w:r w:rsidRPr="00F761C7">
        <w:t>Australian Academy of Technological Sciences and Engineering</w:t>
      </w:r>
      <w:r>
        <w:t xml:space="preserve">, the </w:t>
      </w:r>
      <w:r w:rsidRPr="0030285B">
        <w:t>Australian Research Council, Centre of Excellence for Climate Extremes, University of New South Wales</w:t>
      </w:r>
      <w:r>
        <w:t xml:space="preserve"> all spoke in support of strong targets.</w:t>
      </w:r>
    </w:p>
  </w:footnote>
  <w:footnote w:id="39">
    <w:p w14:paraId="21BAD1B5" w14:textId="77777777" w:rsidR="005F52AE" w:rsidRDefault="005F52AE">
      <w:pPr>
        <w:pStyle w:val="FootnoteText"/>
      </w:pPr>
      <w:r>
        <w:rPr>
          <w:rStyle w:val="FootnoteReference"/>
        </w:rPr>
        <w:footnoteRef/>
      </w:r>
      <w:r>
        <w:t xml:space="preserve"> </w:t>
      </w:r>
      <w:r>
        <w:tab/>
      </w:r>
      <w:r w:rsidRPr="000F755B">
        <w:t>Portfolio Committee No. 7 - Planning and Environment,</w:t>
      </w:r>
      <w:r>
        <w:t xml:space="preserve"> NSW Legislative Council,</w:t>
      </w:r>
      <w:r w:rsidRPr="000F755B">
        <w:t xml:space="preserve"> </w:t>
      </w:r>
      <w:r w:rsidRPr="000F755B">
        <w:rPr>
          <w:i/>
          <w:iCs/>
        </w:rPr>
        <w:t>Climate Change (Net Zero Future) Bill 2023</w:t>
      </w:r>
      <w:r>
        <w:rPr>
          <w:i/>
          <w:iCs/>
        </w:rPr>
        <w:t xml:space="preserve"> </w:t>
      </w:r>
      <w:r>
        <w:t>(2023)</w:t>
      </w:r>
      <w:r w:rsidRPr="000F755B">
        <w:t>, p</w:t>
      </w:r>
      <w:r>
        <w:t>p 17-18.</w:t>
      </w:r>
    </w:p>
  </w:footnote>
  <w:footnote w:id="40">
    <w:p w14:paraId="170BC794" w14:textId="77777777" w:rsidR="005F52AE" w:rsidRDefault="005F52AE">
      <w:pPr>
        <w:pStyle w:val="FootnoteText"/>
      </w:pPr>
      <w:r>
        <w:rPr>
          <w:rStyle w:val="FootnoteReference"/>
        </w:rPr>
        <w:footnoteRef/>
      </w:r>
      <w:r>
        <w:t xml:space="preserve"> </w:t>
      </w:r>
      <w:r>
        <w:tab/>
        <w:t>Portfolio Committee No. 7 - Planning and Environment, NSW Legislative Council,</w:t>
      </w:r>
      <w:r w:rsidRPr="000F755B">
        <w:t xml:space="preserve"> </w:t>
      </w:r>
      <w:r w:rsidRPr="000F755B">
        <w:rPr>
          <w:i/>
          <w:iCs/>
        </w:rPr>
        <w:t>Climate Change (Net Zero Future) Bill 2023</w:t>
      </w:r>
      <w:r>
        <w:rPr>
          <w:i/>
          <w:iCs/>
        </w:rPr>
        <w:t xml:space="preserve"> </w:t>
      </w:r>
      <w:r>
        <w:t>(2023)</w:t>
      </w:r>
      <w:r w:rsidRPr="000F755B">
        <w:t>, p</w:t>
      </w:r>
      <w:r>
        <w:t> </w:t>
      </w:r>
      <w:r w:rsidRPr="000F755B">
        <w:t>1</w:t>
      </w:r>
      <w:r>
        <w:t>9.</w:t>
      </w:r>
    </w:p>
  </w:footnote>
  <w:footnote w:id="41">
    <w:p w14:paraId="39F4336F" w14:textId="77777777" w:rsidR="005F52AE" w:rsidRDefault="005F52AE">
      <w:pPr>
        <w:pStyle w:val="FootnoteText"/>
      </w:pPr>
      <w:r>
        <w:rPr>
          <w:rStyle w:val="FootnoteReference"/>
        </w:rPr>
        <w:footnoteRef/>
      </w:r>
      <w:r>
        <w:t xml:space="preserve"> </w:t>
      </w:r>
      <w:r>
        <w:tab/>
        <w:t>Portfolio Committee No. 7 - Planning and Environment, NSW Legislative Council,</w:t>
      </w:r>
      <w:r w:rsidRPr="000F755B">
        <w:t xml:space="preserve"> </w:t>
      </w:r>
      <w:r w:rsidRPr="000F755B">
        <w:rPr>
          <w:i/>
          <w:iCs/>
        </w:rPr>
        <w:t>Climate Change (Net Zero Future) Bill 2023</w:t>
      </w:r>
      <w:r>
        <w:rPr>
          <w:i/>
          <w:iCs/>
        </w:rPr>
        <w:t xml:space="preserve"> </w:t>
      </w:r>
      <w:r>
        <w:t>(2023)</w:t>
      </w:r>
      <w:r w:rsidRPr="000F755B">
        <w:t>, p</w:t>
      </w:r>
      <w:r>
        <w:t> </w:t>
      </w:r>
      <w:r w:rsidRPr="000F755B">
        <w:t>15</w:t>
      </w:r>
      <w:r>
        <w:t>.</w:t>
      </w:r>
    </w:p>
  </w:footnote>
  <w:footnote w:id="42">
    <w:p w14:paraId="68660BC7"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(2024), pp 9 and 11.</w:t>
      </w:r>
    </w:p>
  </w:footnote>
  <w:footnote w:id="43">
    <w:p w14:paraId="2DDEC50F"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t>(2024), p 11.</w:t>
      </w:r>
    </w:p>
  </w:footnote>
  <w:footnote w:id="44">
    <w:p w14:paraId="563A9C47"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(2024), p 10.</w:t>
      </w:r>
    </w:p>
  </w:footnote>
  <w:footnote w:id="45">
    <w:p w14:paraId="218A22BE"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(2024), p 10.</w:t>
      </w:r>
    </w:p>
  </w:footnote>
  <w:footnote w:id="46">
    <w:p w14:paraId="4B63896C" w14:textId="77777777" w:rsidR="005F52AE" w:rsidRDefault="005F52AE">
      <w:pPr>
        <w:pStyle w:val="FootnoteText"/>
      </w:pPr>
      <w:r>
        <w:rPr>
          <w:rStyle w:val="FootnoteReference"/>
        </w:rPr>
        <w:footnoteRef/>
      </w:r>
      <w:r>
        <w:t xml:space="preserve"> </w:t>
      </w:r>
      <w:r>
        <w:tab/>
        <w:t>Submission 42, Nature Conservation Council of Australia, p 1.</w:t>
      </w:r>
    </w:p>
  </w:footnote>
  <w:footnote w:id="47">
    <w:p w14:paraId="449BC921" w14:textId="77777777" w:rsidR="005F52AE" w:rsidRDefault="005F52AE">
      <w:pPr>
        <w:pStyle w:val="FootnoteText"/>
      </w:pPr>
      <w:r>
        <w:rPr>
          <w:rStyle w:val="FootnoteReference"/>
        </w:rPr>
        <w:footnoteRef/>
      </w:r>
      <w:r>
        <w:t xml:space="preserve"> </w:t>
      </w:r>
      <w:r>
        <w:tab/>
        <w:t xml:space="preserve">Submission 54, </w:t>
      </w:r>
      <w:r w:rsidRPr="004665E4">
        <w:t>National Environmental Law Association</w:t>
      </w:r>
      <w:r>
        <w:t>, p 1.</w:t>
      </w:r>
    </w:p>
  </w:footnote>
  <w:footnote w:id="48">
    <w:p w14:paraId="277FC91D" w14:textId="6F6E78FD" w:rsidR="005F52AE" w:rsidRDefault="005F52AE">
      <w:pPr>
        <w:pStyle w:val="FootnoteText"/>
      </w:pPr>
      <w:r>
        <w:rPr>
          <w:rStyle w:val="FootnoteReference"/>
        </w:rPr>
        <w:footnoteRef/>
      </w:r>
      <w:r>
        <w:t xml:space="preserve"> </w:t>
      </w:r>
      <w:r>
        <w:tab/>
        <w:t>Submission 1, Citizens</w:t>
      </w:r>
      <w:r w:rsidR="007D1E9C">
        <w:t>’</w:t>
      </w:r>
      <w:r>
        <w:t xml:space="preserve"> Climate Lobby, p 1.</w:t>
      </w:r>
    </w:p>
  </w:footnote>
  <w:footnote w:id="49">
    <w:p w14:paraId="6C531401"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(2024), p 5.</w:t>
      </w:r>
    </w:p>
  </w:footnote>
  <w:footnote w:id="50">
    <w:p w14:paraId="4A336C97" w14:textId="77777777" w:rsidR="005F52AE" w:rsidRDefault="005F52AE">
      <w:pPr>
        <w:pStyle w:val="FootnoteText"/>
      </w:pPr>
      <w:r>
        <w:rPr>
          <w:rStyle w:val="FootnoteReference"/>
        </w:rPr>
        <w:footnoteRef/>
      </w:r>
      <w:r>
        <w:t xml:space="preserve"> </w:t>
      </w:r>
      <w:r>
        <w:tab/>
        <w:t xml:space="preserve">Media release, The Hon Penny Sharpe MLC, </w:t>
      </w:r>
      <w:r w:rsidRPr="00E23E6A">
        <w:t>Minister for Energy and Climate Change</w:t>
      </w:r>
      <w:r>
        <w:t xml:space="preserve">, </w:t>
      </w:r>
      <w:r w:rsidRPr="008F71AC">
        <w:t>‘Net Zero Commission launched with inaugural Chair and Commissioner appointments’,</w:t>
      </w:r>
      <w:r>
        <w:t xml:space="preserve"> 9 July 2024.</w:t>
      </w:r>
    </w:p>
  </w:footnote>
  <w:footnote w:id="51">
    <w:p w14:paraId="31D9AB02" w14:textId="77777777" w:rsidR="005F52AE" w:rsidRDefault="005F52AE">
      <w:pPr>
        <w:pStyle w:val="FootnoteText"/>
      </w:pPr>
      <w:r>
        <w:rPr>
          <w:rStyle w:val="FootnoteReference"/>
        </w:rPr>
        <w:footnoteRef/>
      </w:r>
      <w:r>
        <w:t xml:space="preserve"> </w:t>
      </w:r>
      <w:r>
        <w:tab/>
      </w:r>
      <w:r w:rsidRPr="0012788B">
        <w:rPr>
          <w:i/>
          <w:iCs/>
        </w:rPr>
        <w:t>Climate Change (Net Zero Future) Act 2023</w:t>
      </w:r>
      <w:r>
        <w:t>, s 21.</w:t>
      </w:r>
    </w:p>
  </w:footnote>
  <w:footnote w:id="52">
    <w:p w14:paraId="06823084"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(2024), p 5; see also Chapter 1, section 1.15.</w:t>
      </w:r>
    </w:p>
  </w:footnote>
  <w:footnote w:id="53">
    <w:p w14:paraId="4B8BE1B0" w14:textId="77777777" w:rsidR="005F52AE" w:rsidRDefault="005F52AE">
      <w:pPr>
        <w:pStyle w:val="FootnoteText"/>
      </w:pPr>
      <w:r>
        <w:rPr>
          <w:rStyle w:val="FootnoteReference"/>
        </w:rPr>
        <w:footnoteRef/>
      </w:r>
      <w:r>
        <w:t xml:space="preserve"> </w:t>
      </w:r>
      <w:r>
        <w:tab/>
        <w:t xml:space="preserve">Submission 33, Justice and Equity Centre, p 5; Submission 54, </w:t>
      </w:r>
      <w:r w:rsidRPr="003F01EA">
        <w:t>National Environmental Law Association</w:t>
      </w:r>
      <w:r>
        <w:t>, p 6.</w:t>
      </w:r>
    </w:p>
  </w:footnote>
  <w:footnote w:id="54">
    <w:p w14:paraId="505DFD72" w14:textId="77777777" w:rsidR="005F52AE" w:rsidRDefault="005F52AE">
      <w:pPr>
        <w:pStyle w:val="FootnoteText"/>
      </w:pPr>
      <w:r>
        <w:rPr>
          <w:rStyle w:val="FootnoteReference"/>
        </w:rPr>
        <w:footnoteRef/>
      </w:r>
      <w:r>
        <w:t xml:space="preserve"> </w:t>
      </w:r>
      <w:r>
        <w:tab/>
        <w:t>Submission 33, Justice and Equity Centre, p 7.</w:t>
      </w:r>
    </w:p>
  </w:footnote>
  <w:footnote w:id="55">
    <w:p w14:paraId="40D0D675" w14:textId="77777777" w:rsidR="005F52AE" w:rsidRDefault="005F52AE">
      <w:pPr>
        <w:pStyle w:val="FootnoteText"/>
      </w:pPr>
      <w:r>
        <w:rPr>
          <w:rStyle w:val="FootnoteReference"/>
        </w:rPr>
        <w:footnoteRef/>
      </w:r>
      <w:r>
        <w:t xml:space="preserve"> </w:t>
      </w:r>
      <w:r>
        <w:tab/>
        <w:t xml:space="preserve">Submission 44, Justice and Equity Centre, pp 7-11. </w:t>
      </w:r>
    </w:p>
  </w:footnote>
  <w:footnote w:id="56">
    <w:p w14:paraId="26C00A64" w14:textId="77777777" w:rsidR="005F52AE" w:rsidRDefault="005F52AE">
      <w:pPr>
        <w:pStyle w:val="FootnoteText"/>
      </w:pPr>
      <w:r>
        <w:rPr>
          <w:rStyle w:val="FootnoteReference"/>
        </w:rPr>
        <w:footnoteRef/>
      </w:r>
      <w:r>
        <w:t xml:space="preserve"> </w:t>
      </w:r>
      <w:r>
        <w:tab/>
        <w:t>Submission 42, Nature Conservation Council, p 3; Submission 33, Justice and Equity Centre, pp 6-7; Submission 53, Lock the Gate Alliance, p 5; Submission 54, National Environmental Law Association, p 3.</w:t>
      </w:r>
    </w:p>
  </w:footnote>
  <w:footnote w:id="57">
    <w:p w14:paraId="305B6789" w14:textId="77777777" w:rsidR="005F52AE" w:rsidRDefault="005F52AE">
      <w:pPr>
        <w:pStyle w:val="FootnoteText"/>
      </w:pPr>
      <w:r>
        <w:rPr>
          <w:rStyle w:val="FootnoteReference"/>
        </w:rPr>
        <w:footnoteRef/>
      </w:r>
      <w:r>
        <w:t xml:space="preserve"> </w:t>
      </w:r>
      <w:r>
        <w:tab/>
        <w:t>Submission 54, National Environmental Law Association, p 2.</w:t>
      </w:r>
    </w:p>
  </w:footnote>
  <w:footnote w:id="58">
    <w:p w14:paraId="3D9FB801"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C33E82">
        <w:t>(</w:t>
      </w:r>
      <w:r w:rsidRPr="00DE5AF6">
        <w:t xml:space="preserve">2024), </w:t>
      </w:r>
      <w:r>
        <w:t>p 16.</w:t>
      </w:r>
    </w:p>
  </w:footnote>
  <w:footnote w:id="59">
    <w:p w14:paraId="3362D1E9" w14:textId="79B404DC"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D450E2">
        <w:t>(</w:t>
      </w:r>
      <w:r w:rsidRPr="00DE5AF6">
        <w:t>2024),</w:t>
      </w:r>
      <w:r>
        <w:t xml:space="preserve"> p 17</w:t>
      </w:r>
      <w:r w:rsidR="001D0397">
        <w:t xml:space="preserve">, using data from </w:t>
      </w:r>
      <w:r w:rsidR="00C45102">
        <w:t>the Australian Government</w:t>
      </w:r>
      <w:r w:rsidR="00BB48FF">
        <w:t xml:space="preserve"> </w:t>
      </w:r>
      <w:r w:rsidR="00C45102" w:rsidRPr="00BB48FF">
        <w:rPr>
          <w:i/>
          <w:iCs/>
        </w:rPr>
        <w:t xml:space="preserve">National Greenhouse </w:t>
      </w:r>
      <w:r w:rsidR="00A573E4" w:rsidRPr="00BB48FF">
        <w:rPr>
          <w:i/>
          <w:iCs/>
        </w:rPr>
        <w:t>Accounts 2022: State and Territory Greenhouse Gas Inventory</w:t>
      </w:r>
      <w:r w:rsidR="00A96F71" w:rsidRPr="00BB48FF">
        <w:rPr>
          <w:i/>
          <w:iCs/>
        </w:rPr>
        <w:t xml:space="preserve"> </w:t>
      </w:r>
      <w:r w:rsidR="00A96F71">
        <w:t>(2024)</w:t>
      </w:r>
      <w:r>
        <w:t>.</w:t>
      </w:r>
    </w:p>
  </w:footnote>
  <w:footnote w:id="60">
    <w:p w14:paraId="711B9F6C"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D450E2">
        <w:t>(</w:t>
      </w:r>
      <w:r w:rsidRPr="00DE5AF6">
        <w:t>2024),</w:t>
      </w:r>
      <w:r>
        <w:t xml:space="preserve"> p 17.</w:t>
      </w:r>
    </w:p>
  </w:footnote>
  <w:footnote w:id="61">
    <w:p w14:paraId="4BBFF2E3"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D450E2">
        <w:t>(</w:t>
      </w:r>
      <w:r w:rsidRPr="00DE5AF6">
        <w:t>2024),</w:t>
      </w:r>
      <w:r>
        <w:t xml:space="preserve"> p 21.</w:t>
      </w:r>
    </w:p>
  </w:footnote>
  <w:footnote w:id="62">
    <w:p w14:paraId="1DD5C3A9"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D450E2">
        <w:t>(</w:t>
      </w:r>
      <w:r w:rsidRPr="00DE5AF6">
        <w:t>2024),</w:t>
      </w:r>
      <w:r>
        <w:t xml:space="preserve"> p 22.</w:t>
      </w:r>
    </w:p>
  </w:footnote>
  <w:footnote w:id="63">
    <w:p w14:paraId="2CBFF207"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rPr>
          <w:i/>
          <w:iCs/>
        </w:rPr>
        <w:t xml:space="preserve"> </w:t>
      </w:r>
      <w:r w:rsidRPr="00D450E2">
        <w:t>(</w:t>
      </w:r>
      <w:r w:rsidRPr="00DE5AF6">
        <w:t>2024),</w:t>
      </w:r>
      <w:r>
        <w:t xml:space="preserve"> p 25.</w:t>
      </w:r>
    </w:p>
  </w:footnote>
  <w:footnote w:id="64">
    <w:p w14:paraId="5AB4C2E5" w14:textId="1824E0EF" w:rsidR="005F52AE" w:rsidRDefault="005F52AE">
      <w:pPr>
        <w:pStyle w:val="FootnoteText"/>
      </w:pPr>
      <w:r>
        <w:rPr>
          <w:rStyle w:val="FootnoteReference"/>
        </w:rPr>
        <w:footnoteRef/>
      </w:r>
      <w:r>
        <w:t xml:space="preserve"> </w:t>
      </w:r>
      <w:r>
        <w:tab/>
        <w:t xml:space="preserve">Evidence, </w:t>
      </w:r>
      <w:r w:rsidRPr="00B92687">
        <w:t xml:space="preserve">Ms Kylie Turner, System Lead, Sustainable Economies, </w:t>
      </w:r>
      <w:proofErr w:type="spellStart"/>
      <w:r w:rsidRPr="00B92687">
        <w:t>Climateworks</w:t>
      </w:r>
      <w:proofErr w:type="spellEnd"/>
      <w:r w:rsidRPr="00B92687">
        <w:t xml:space="preserve"> Centre, </w:t>
      </w:r>
      <w:r w:rsidRPr="006C6E40">
        <w:t>14</w:t>
      </w:r>
      <w:r w:rsidR="009B3B1D">
        <w:t> </w:t>
      </w:r>
      <w:r w:rsidRPr="006C6E40">
        <w:t>March</w:t>
      </w:r>
      <w:r w:rsidR="009B3B1D">
        <w:t> </w:t>
      </w:r>
      <w:r w:rsidRPr="006C6E40">
        <w:t xml:space="preserve">2025, p </w:t>
      </w:r>
      <w:r>
        <w:t>17</w:t>
      </w:r>
      <w:r w:rsidRPr="006C6E40">
        <w:t>.</w:t>
      </w:r>
    </w:p>
  </w:footnote>
  <w:footnote w:id="65">
    <w:p w14:paraId="63A5A88D" w14:textId="42BB42A7" w:rsidR="005F52AE" w:rsidRDefault="005F52AE">
      <w:pPr>
        <w:pStyle w:val="FootnoteText"/>
      </w:pPr>
      <w:r>
        <w:rPr>
          <w:rStyle w:val="FootnoteReference"/>
        </w:rPr>
        <w:footnoteRef/>
      </w:r>
      <w:r>
        <w:t xml:space="preserve"> </w:t>
      </w:r>
      <w:r>
        <w:tab/>
        <w:t xml:space="preserve">Evidence, </w:t>
      </w:r>
      <w:r w:rsidR="00F546B0" w:rsidRPr="00B92687">
        <w:t xml:space="preserve">Ms Kylie Turner, </w:t>
      </w:r>
      <w:r w:rsidRPr="006C6E40">
        <w:t xml:space="preserve">14 March 2025, p </w:t>
      </w:r>
      <w:r>
        <w:t>17</w:t>
      </w:r>
      <w:r w:rsidRPr="006C6E40">
        <w:t>.</w:t>
      </w:r>
    </w:p>
  </w:footnote>
  <w:footnote w:id="66">
    <w:p w14:paraId="65400F7F" w14:textId="77777777" w:rsidR="005F52AE" w:rsidRDefault="005F52AE">
      <w:pPr>
        <w:pStyle w:val="FootnoteText"/>
      </w:pPr>
      <w:r>
        <w:rPr>
          <w:rStyle w:val="FootnoteReference"/>
        </w:rPr>
        <w:footnoteRef/>
      </w:r>
      <w:r>
        <w:t xml:space="preserve"> </w:t>
      </w:r>
      <w:r>
        <w:tab/>
        <w:t>Submission 40, Ausgrid, p 5.</w:t>
      </w:r>
    </w:p>
  </w:footnote>
  <w:footnote w:id="67">
    <w:p w14:paraId="659F7904" w14:textId="77777777" w:rsidR="005F52AE" w:rsidRDefault="005F52AE">
      <w:pPr>
        <w:pStyle w:val="FootnoteText"/>
      </w:pPr>
      <w:r>
        <w:rPr>
          <w:rStyle w:val="FootnoteReference"/>
        </w:rPr>
        <w:footnoteRef/>
      </w:r>
      <w:r>
        <w:t xml:space="preserve"> </w:t>
      </w:r>
      <w:r>
        <w:tab/>
        <w:t>Submission 33, Justice and Equity Centre, p 12.</w:t>
      </w:r>
    </w:p>
  </w:footnote>
  <w:footnote w:id="68">
    <w:p w14:paraId="31F26E4A" w14:textId="2E5260F2" w:rsidR="005F52AE" w:rsidRDefault="005F52AE">
      <w:pPr>
        <w:pStyle w:val="FootnoteText"/>
      </w:pPr>
      <w:r>
        <w:rPr>
          <w:rStyle w:val="FootnoteReference"/>
        </w:rPr>
        <w:footnoteRef/>
      </w:r>
      <w:r>
        <w:t xml:space="preserve"> </w:t>
      </w:r>
      <w:r>
        <w:tab/>
        <w:t xml:space="preserve">Evidence, </w:t>
      </w:r>
      <w:r w:rsidRPr="00C47812">
        <w:t xml:space="preserve">Mr Raymond Kelly, </w:t>
      </w:r>
      <w:r w:rsidRPr="004C4923">
        <w:t xml:space="preserve">Chairperson and Councillor for Sydney Newcastle Region, </w:t>
      </w:r>
      <w:r w:rsidRPr="00C47812">
        <w:t>Aboriginal</w:t>
      </w:r>
      <w:r w:rsidR="00FE5285">
        <w:t> </w:t>
      </w:r>
      <w:r w:rsidRPr="00C47812">
        <w:t>Land Council</w:t>
      </w:r>
      <w:r>
        <w:t xml:space="preserve">, </w:t>
      </w:r>
      <w:r w:rsidRPr="006C6E40">
        <w:t>14 March 2025, p 34.</w:t>
      </w:r>
    </w:p>
  </w:footnote>
  <w:footnote w:id="69">
    <w:p w14:paraId="3C7DCC93" w14:textId="2A3F8D0F" w:rsidR="005F52AE" w:rsidRDefault="005F52AE">
      <w:pPr>
        <w:pStyle w:val="FootnoteText"/>
      </w:pPr>
      <w:r>
        <w:rPr>
          <w:rStyle w:val="FootnoteReference"/>
        </w:rPr>
        <w:footnoteRef/>
      </w:r>
      <w:r>
        <w:t xml:space="preserve"> </w:t>
      </w:r>
      <w:r>
        <w:tab/>
        <w:t xml:space="preserve">Evidence, </w:t>
      </w:r>
      <w:r w:rsidRPr="00C47812">
        <w:t xml:space="preserve">Mr Raymond Kelly, </w:t>
      </w:r>
      <w:r w:rsidRPr="006C6E40">
        <w:t>14 March 2025, p 34.</w:t>
      </w:r>
    </w:p>
  </w:footnote>
  <w:footnote w:id="70">
    <w:p w14:paraId="411DE604" w14:textId="760A92C7" w:rsidR="005F52AE" w:rsidRDefault="005F52AE">
      <w:pPr>
        <w:pStyle w:val="FootnoteText"/>
      </w:pPr>
      <w:r>
        <w:rPr>
          <w:rStyle w:val="FootnoteReference"/>
        </w:rPr>
        <w:footnoteRef/>
      </w:r>
      <w:r>
        <w:t xml:space="preserve"> </w:t>
      </w:r>
      <w:r>
        <w:tab/>
        <w:t xml:space="preserve">Evidence, </w:t>
      </w:r>
      <w:r w:rsidRPr="00C47812">
        <w:t xml:space="preserve">Mr Raymond Kelly, </w:t>
      </w:r>
      <w:r w:rsidRPr="006C6E40">
        <w:t>14 March 2025, p 3</w:t>
      </w:r>
      <w:r>
        <w:t>5</w:t>
      </w:r>
      <w:r w:rsidRPr="006C6E40">
        <w:t>.</w:t>
      </w:r>
    </w:p>
  </w:footnote>
  <w:footnote w:id="71">
    <w:p w14:paraId="330DED4A" w14:textId="4E04F89B" w:rsidR="005F52AE" w:rsidRDefault="005F52AE">
      <w:pPr>
        <w:pStyle w:val="FootnoteText"/>
      </w:pPr>
      <w:r>
        <w:rPr>
          <w:rStyle w:val="FootnoteReference"/>
        </w:rPr>
        <w:footnoteRef/>
      </w:r>
      <w:r>
        <w:t xml:space="preserve"> </w:t>
      </w:r>
      <w:r>
        <w:tab/>
        <w:t xml:space="preserve">Evidence, Mr Stephen </w:t>
      </w:r>
      <w:proofErr w:type="spellStart"/>
      <w:r>
        <w:t>Hynd</w:t>
      </w:r>
      <w:proofErr w:type="spellEnd"/>
      <w:r>
        <w:t xml:space="preserve">, </w:t>
      </w:r>
      <w:r w:rsidRPr="00501DB2">
        <w:t xml:space="preserve">Executive Director, NSW Aboriginal Land Council, </w:t>
      </w:r>
      <w:r w:rsidRPr="006C6E40">
        <w:t>14 March 2025, p</w:t>
      </w:r>
      <w:r w:rsidR="00FE5285">
        <w:t> </w:t>
      </w:r>
      <w:r w:rsidRPr="006C6E40">
        <w:t>3</w:t>
      </w:r>
      <w:r>
        <w:t>6</w:t>
      </w:r>
      <w:r w:rsidRPr="006C6E40">
        <w:t>.</w:t>
      </w:r>
    </w:p>
  </w:footnote>
  <w:footnote w:id="72">
    <w:p w14:paraId="3854EE73" w14:textId="627CC6DA" w:rsidR="005F52AE" w:rsidRDefault="005F52AE">
      <w:pPr>
        <w:pStyle w:val="FootnoteText"/>
      </w:pPr>
      <w:r>
        <w:rPr>
          <w:rStyle w:val="FootnoteReference"/>
        </w:rPr>
        <w:footnoteRef/>
      </w:r>
      <w:r>
        <w:t xml:space="preserve"> </w:t>
      </w:r>
      <w:r>
        <w:tab/>
        <w:t xml:space="preserve">Evidence, </w:t>
      </w:r>
      <w:r w:rsidRPr="00C47812">
        <w:t xml:space="preserve">Mr Raymond Kelly, </w:t>
      </w:r>
      <w:r w:rsidRPr="006C6E40">
        <w:t>14 March 2025, p 34.</w:t>
      </w:r>
    </w:p>
  </w:footnote>
  <w:footnote w:id="73">
    <w:p w14:paraId="2D4C7EF4" w14:textId="77777777" w:rsidR="005F52AE" w:rsidRDefault="005F52AE">
      <w:pPr>
        <w:pStyle w:val="FootnoteText"/>
      </w:pPr>
      <w:r>
        <w:rPr>
          <w:rStyle w:val="FootnoteReference"/>
        </w:rPr>
        <w:footnoteRef/>
      </w:r>
      <w:r>
        <w:t xml:space="preserve"> </w:t>
      </w:r>
      <w:r>
        <w:tab/>
        <w:t xml:space="preserve">Net Zero Commission (NSW), </w:t>
      </w:r>
      <w:r w:rsidRPr="00B9789B">
        <w:rPr>
          <w:i/>
          <w:iCs/>
        </w:rPr>
        <w:t>2024 Annual Report</w:t>
      </w:r>
      <w:r>
        <w:t xml:space="preserve"> </w:t>
      </w:r>
      <w:r w:rsidRPr="00C33E82">
        <w:t>(</w:t>
      </w:r>
      <w:r w:rsidRPr="00C57C88">
        <w:t>2024),</w:t>
      </w:r>
      <w:r>
        <w:t xml:space="preserve"> p 26.</w:t>
      </w:r>
    </w:p>
  </w:footnote>
  <w:footnote w:id="74">
    <w:p w14:paraId="6AAF33ED" w14:textId="4D456AAC" w:rsidR="005F52AE" w:rsidRDefault="005F52AE">
      <w:pPr>
        <w:pStyle w:val="FootnoteText"/>
      </w:pPr>
      <w:r>
        <w:rPr>
          <w:rStyle w:val="FootnoteReference"/>
        </w:rPr>
        <w:footnoteRef/>
      </w:r>
      <w:r>
        <w:t xml:space="preserve"> </w:t>
      </w:r>
      <w:r>
        <w:tab/>
        <w:t>Submission 1, Citizens</w:t>
      </w:r>
      <w:r w:rsidR="007D1E9C">
        <w:t>’</w:t>
      </w:r>
      <w:r>
        <w:t xml:space="preserve"> Climate Lobby, p 3.</w:t>
      </w:r>
    </w:p>
  </w:footnote>
  <w:footnote w:id="75">
    <w:p w14:paraId="5E67EA68" w14:textId="77777777" w:rsidR="005F52AE" w:rsidRDefault="005F52AE">
      <w:pPr>
        <w:pStyle w:val="FootnoteText"/>
      </w:pPr>
      <w:r>
        <w:rPr>
          <w:rStyle w:val="FootnoteReference"/>
        </w:rPr>
        <w:footnoteRef/>
      </w:r>
      <w:r>
        <w:t xml:space="preserve"> </w:t>
      </w:r>
      <w:r>
        <w:tab/>
        <w:t>Submission 14, NSW Branch of Doctors for the Environment Australia, p 1.</w:t>
      </w:r>
    </w:p>
  </w:footnote>
  <w:footnote w:id="76">
    <w:p w14:paraId="5398736B" w14:textId="77777777" w:rsidR="005F52AE" w:rsidRDefault="005F52AE">
      <w:pPr>
        <w:pStyle w:val="FootnoteText"/>
      </w:pPr>
      <w:r>
        <w:rPr>
          <w:rStyle w:val="FootnoteReference"/>
        </w:rPr>
        <w:footnoteRef/>
      </w:r>
      <w:r>
        <w:t xml:space="preserve"> </w:t>
      </w:r>
      <w:r>
        <w:tab/>
        <w:t>Submission 14, NSW Branch of Doctors for the Environment Australia, p 1.</w:t>
      </w:r>
    </w:p>
  </w:footnote>
  <w:footnote w:id="77">
    <w:p w14:paraId="1A90AF55" w14:textId="77777777" w:rsidR="005F52AE" w:rsidRDefault="005F52AE">
      <w:pPr>
        <w:pStyle w:val="FootnoteText"/>
      </w:pPr>
      <w:r>
        <w:rPr>
          <w:rStyle w:val="FootnoteReference"/>
        </w:rPr>
        <w:footnoteRef/>
      </w:r>
      <w:r>
        <w:t xml:space="preserve"> </w:t>
      </w:r>
      <w:r>
        <w:tab/>
        <w:t xml:space="preserve">Centre for Population Health, NSW Health, </w:t>
      </w:r>
      <w:r w:rsidRPr="00A63133">
        <w:rPr>
          <w:i/>
          <w:iCs/>
        </w:rPr>
        <w:t>NSW Active Transport Health Model Reference Outcome Values</w:t>
      </w:r>
      <w:r>
        <w:t xml:space="preserve"> (</w:t>
      </w:r>
      <w:r w:rsidRPr="00A63133">
        <w:t>18 December 2024</w:t>
      </w:r>
      <w:r>
        <w:t>).</w:t>
      </w:r>
    </w:p>
  </w:footnote>
  <w:footnote w:id="78">
    <w:p w14:paraId="3BA31317" w14:textId="77777777" w:rsidR="005F52AE" w:rsidRDefault="005F52AE">
      <w:pPr>
        <w:pStyle w:val="FootnoteText"/>
      </w:pPr>
      <w:r>
        <w:rPr>
          <w:rStyle w:val="FootnoteReference"/>
        </w:rPr>
        <w:footnoteRef/>
      </w:r>
      <w:r>
        <w:t xml:space="preserve"> </w:t>
      </w:r>
      <w:r>
        <w:tab/>
        <w:t>Submission 14, NSW Branch of Doctors for the Environment Australia, p 2.</w:t>
      </w:r>
    </w:p>
  </w:footnote>
  <w:footnote w:id="79">
    <w:p w14:paraId="7A203092" w14:textId="77777777" w:rsidR="005F52AE" w:rsidRDefault="005F52AE">
      <w:pPr>
        <w:pStyle w:val="FootnoteText"/>
      </w:pPr>
      <w:r>
        <w:rPr>
          <w:rStyle w:val="FootnoteReference"/>
        </w:rPr>
        <w:footnoteRef/>
      </w:r>
      <w:r>
        <w:t xml:space="preserve"> </w:t>
      </w:r>
      <w:r>
        <w:tab/>
        <w:t xml:space="preserve">Evidence, Mr Gregory </w:t>
      </w:r>
      <w:proofErr w:type="spellStart"/>
      <w:r>
        <w:t>Bourne</w:t>
      </w:r>
      <w:proofErr w:type="spellEnd"/>
      <w:r>
        <w:t>, Councillor, Climate Council, 14 March 2025, p 12.</w:t>
      </w:r>
    </w:p>
  </w:footnote>
  <w:footnote w:id="80">
    <w:p w14:paraId="3FF43B5D" w14:textId="58A6BB6E" w:rsidR="005F52AE" w:rsidRDefault="005F52AE">
      <w:pPr>
        <w:pStyle w:val="FootnoteText"/>
      </w:pPr>
      <w:r>
        <w:rPr>
          <w:rStyle w:val="FootnoteReference"/>
        </w:rPr>
        <w:footnoteRef/>
      </w:r>
      <w:r>
        <w:t xml:space="preserve"> </w:t>
      </w:r>
      <w:r>
        <w:tab/>
        <w:t xml:space="preserve">Evidence, Dr Hermoine Parsons, </w:t>
      </w:r>
      <w:r w:rsidRPr="00436DE5">
        <w:t>Chief Executive Officer and Managing Director, Australian</w:t>
      </w:r>
      <w:r w:rsidR="007E2926">
        <w:t> </w:t>
      </w:r>
      <w:r w:rsidRPr="00436DE5">
        <w:t>Logistics Council,</w:t>
      </w:r>
      <w:r>
        <w:t xml:space="preserve"> 14 March 2025, pp 24-25.</w:t>
      </w:r>
    </w:p>
  </w:footnote>
  <w:footnote w:id="81">
    <w:p w14:paraId="17962F09" w14:textId="77777777" w:rsidR="005F52AE" w:rsidRDefault="005F52AE">
      <w:pPr>
        <w:pStyle w:val="FootnoteText"/>
      </w:pPr>
      <w:r>
        <w:rPr>
          <w:rStyle w:val="FootnoteReference"/>
        </w:rPr>
        <w:footnoteRef/>
      </w:r>
      <w:r>
        <w:t xml:space="preserve"> </w:t>
      </w:r>
      <w:r>
        <w:tab/>
        <w:t>Evidence, Dr Parsons, 14 March 2025, p 25.</w:t>
      </w:r>
    </w:p>
  </w:footnote>
  <w:footnote w:id="82">
    <w:p w14:paraId="77973459"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29</w:t>
      </w:r>
      <w:r w:rsidRPr="000B38C5">
        <w:t>.</w:t>
      </w:r>
    </w:p>
  </w:footnote>
  <w:footnote w:id="83">
    <w:p w14:paraId="7EC0307E"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29</w:t>
      </w:r>
      <w:r w:rsidRPr="000B38C5">
        <w:t>.</w:t>
      </w:r>
    </w:p>
  </w:footnote>
  <w:footnote w:id="84">
    <w:p w14:paraId="2E113CD9"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33</w:t>
      </w:r>
      <w:r w:rsidRPr="000B38C5">
        <w:t>.</w:t>
      </w:r>
    </w:p>
  </w:footnote>
  <w:footnote w:id="85">
    <w:p w14:paraId="66581A09"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33</w:t>
      </w:r>
      <w:r w:rsidRPr="000B38C5">
        <w:t>.</w:t>
      </w:r>
    </w:p>
  </w:footnote>
  <w:footnote w:id="86">
    <w:p w14:paraId="5CEBB6DD" w14:textId="77777777" w:rsidR="005F52AE" w:rsidRDefault="005F52AE">
      <w:pPr>
        <w:pStyle w:val="FootnoteText"/>
      </w:pPr>
      <w:r>
        <w:rPr>
          <w:rStyle w:val="FootnoteReference"/>
        </w:rPr>
        <w:footnoteRef/>
      </w:r>
      <w:r>
        <w:t xml:space="preserve"> </w:t>
      </w:r>
      <w:r>
        <w:tab/>
        <w:t>Submission 1, Citizens’ Climate Lobby Australia, p 1.</w:t>
      </w:r>
    </w:p>
  </w:footnote>
  <w:footnote w:id="87">
    <w:p w14:paraId="59D33631" w14:textId="77777777" w:rsidR="005F52AE" w:rsidRDefault="005F52AE">
      <w:pPr>
        <w:pStyle w:val="FootnoteText"/>
      </w:pPr>
      <w:r>
        <w:rPr>
          <w:rStyle w:val="FootnoteReference"/>
        </w:rPr>
        <w:footnoteRef/>
      </w:r>
      <w:r>
        <w:t xml:space="preserve"> </w:t>
      </w:r>
      <w:r>
        <w:tab/>
        <w:t>Submission 87, Wilderness Australia, p 8.</w:t>
      </w:r>
    </w:p>
  </w:footnote>
  <w:footnote w:id="88">
    <w:p w14:paraId="16D2E3F3" w14:textId="77777777" w:rsidR="005F52AE" w:rsidRDefault="005F52AE">
      <w:pPr>
        <w:pStyle w:val="FootnoteText"/>
      </w:pPr>
      <w:r>
        <w:rPr>
          <w:rStyle w:val="FootnoteReference"/>
        </w:rPr>
        <w:footnoteRef/>
      </w:r>
      <w:r>
        <w:t xml:space="preserve"> </w:t>
      </w:r>
      <w:r>
        <w:tab/>
        <w:t>Submission 87, Wilderness Australia, pp 4-9.</w:t>
      </w:r>
    </w:p>
  </w:footnote>
  <w:footnote w:id="89">
    <w:p w14:paraId="337F9534" w14:textId="77777777" w:rsidR="005F52AE" w:rsidRDefault="005F52AE">
      <w:pPr>
        <w:pStyle w:val="FootnoteText"/>
      </w:pPr>
      <w:r>
        <w:rPr>
          <w:rStyle w:val="FootnoteReference"/>
        </w:rPr>
        <w:footnoteRef/>
      </w:r>
      <w:r>
        <w:t xml:space="preserve"> </w:t>
      </w:r>
      <w:r>
        <w:tab/>
        <w:t xml:space="preserve">Submission 57, Sydney Knitting Nannas, p 2; Submission 7, </w:t>
      </w:r>
      <w:proofErr w:type="gramStart"/>
      <w:r>
        <w:t>North East</w:t>
      </w:r>
      <w:proofErr w:type="gramEnd"/>
      <w:r>
        <w:t xml:space="preserve"> Forest Alliance, p 1; Submission 42, Nature Conservation Council of NSW, pp 6-7.</w:t>
      </w:r>
    </w:p>
  </w:footnote>
  <w:footnote w:id="90">
    <w:p w14:paraId="408BC102" w14:textId="77777777" w:rsidR="005F52AE" w:rsidRDefault="005F52AE">
      <w:pPr>
        <w:pStyle w:val="FootnoteText"/>
      </w:pPr>
      <w:r>
        <w:rPr>
          <w:rStyle w:val="FootnoteReference"/>
        </w:rPr>
        <w:footnoteRef/>
      </w:r>
      <w:r>
        <w:t xml:space="preserve"> </w:t>
      </w:r>
      <w:r>
        <w:tab/>
        <w:t xml:space="preserve">Submission 7, </w:t>
      </w:r>
      <w:proofErr w:type="gramStart"/>
      <w:r>
        <w:t>North East</w:t>
      </w:r>
      <w:proofErr w:type="gramEnd"/>
      <w:r>
        <w:t xml:space="preserve"> Forest Alliance, p 4.</w:t>
      </w:r>
    </w:p>
  </w:footnote>
  <w:footnote w:id="91">
    <w:p w14:paraId="4C7850C1" w14:textId="23ED9EBC" w:rsidR="005F52AE" w:rsidRDefault="005F52AE">
      <w:pPr>
        <w:pStyle w:val="FootnoteText"/>
      </w:pPr>
      <w:r>
        <w:rPr>
          <w:rStyle w:val="FootnoteReference"/>
        </w:rPr>
        <w:footnoteRef/>
      </w:r>
      <w:r>
        <w:t xml:space="preserve"> </w:t>
      </w:r>
      <w:r>
        <w:tab/>
        <w:t xml:space="preserve">Evidence, Professor Andrew Pitman AO, </w:t>
      </w:r>
      <w:r w:rsidRPr="00853E74">
        <w:t>Commissioner, Net Zero Commission</w:t>
      </w:r>
      <w:r w:rsidRPr="006C6E40">
        <w:t>, 14 March 2025, p</w:t>
      </w:r>
      <w:r w:rsidR="00414F60">
        <w:t> </w:t>
      </w:r>
      <w:r>
        <w:t>48</w:t>
      </w:r>
      <w:r w:rsidRPr="006C6E40">
        <w:t>.</w:t>
      </w:r>
    </w:p>
  </w:footnote>
  <w:footnote w:id="92">
    <w:p w14:paraId="3EBECC96" w14:textId="039B0EE2" w:rsidR="005F52AE" w:rsidRDefault="005F52AE">
      <w:pPr>
        <w:pStyle w:val="FootnoteText"/>
      </w:pPr>
      <w:r>
        <w:rPr>
          <w:rStyle w:val="FootnoteReference"/>
        </w:rPr>
        <w:footnoteRef/>
      </w:r>
      <w:r>
        <w:t xml:space="preserve"> </w:t>
      </w:r>
      <w:r>
        <w:tab/>
        <w:t xml:space="preserve">Evidence, Dr Georgina Woods, </w:t>
      </w:r>
      <w:r w:rsidRPr="005E6016">
        <w:t xml:space="preserve">Head of Research and Investigations, Lock the Gate Alliance, </w:t>
      </w:r>
      <w:r w:rsidRPr="006C6E40">
        <w:t>14</w:t>
      </w:r>
      <w:r w:rsidR="00F415C8">
        <w:t> </w:t>
      </w:r>
      <w:r w:rsidRPr="006C6E40">
        <w:t xml:space="preserve">March 2025, p </w:t>
      </w:r>
      <w:r>
        <w:t>7</w:t>
      </w:r>
      <w:r w:rsidRPr="006C6E40">
        <w:t>.</w:t>
      </w:r>
    </w:p>
  </w:footnote>
  <w:footnote w:id="93">
    <w:p w14:paraId="38BB737B" w14:textId="66383A01" w:rsidR="005F52AE" w:rsidRDefault="005F52AE">
      <w:pPr>
        <w:pStyle w:val="FootnoteText"/>
      </w:pPr>
      <w:r>
        <w:rPr>
          <w:rStyle w:val="FootnoteReference"/>
        </w:rPr>
        <w:footnoteRef/>
      </w:r>
      <w:r>
        <w:t xml:space="preserve"> </w:t>
      </w:r>
      <w:r>
        <w:tab/>
        <w:t xml:space="preserve">Evidence, Dr Georgina Woods, </w:t>
      </w:r>
      <w:r w:rsidRPr="006C6E40">
        <w:t xml:space="preserve">14 March 2025, p </w:t>
      </w:r>
      <w:r>
        <w:t>7</w:t>
      </w:r>
      <w:r w:rsidRPr="006C6E40">
        <w:t>.</w:t>
      </w:r>
    </w:p>
  </w:footnote>
  <w:footnote w:id="94">
    <w:p w14:paraId="0A49F91F"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38</w:t>
      </w:r>
      <w:r w:rsidRPr="000B38C5">
        <w:t>.</w:t>
      </w:r>
    </w:p>
  </w:footnote>
  <w:footnote w:id="95">
    <w:p w14:paraId="52E6E005"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38</w:t>
      </w:r>
      <w:r w:rsidRPr="000B38C5">
        <w:t>.</w:t>
      </w:r>
    </w:p>
  </w:footnote>
  <w:footnote w:id="96">
    <w:p w14:paraId="7E2CFDC6" w14:textId="77777777" w:rsidR="005F52AE" w:rsidRDefault="005F52AE">
      <w:pPr>
        <w:pStyle w:val="FootnoteText"/>
      </w:pPr>
      <w:r>
        <w:rPr>
          <w:rStyle w:val="FootnoteReference"/>
        </w:rPr>
        <w:footnoteRef/>
      </w:r>
      <w:r>
        <w:t xml:space="preserve"> </w:t>
      </w:r>
      <w:r>
        <w:tab/>
        <w:t xml:space="preserve">Evidence, </w:t>
      </w:r>
      <w:r w:rsidRPr="004A0167">
        <w:t xml:space="preserve">Mr </w:t>
      </w:r>
      <w:r>
        <w:t>T</w:t>
      </w:r>
      <w:r w:rsidRPr="004A0167">
        <w:t xml:space="preserve">ennant </w:t>
      </w:r>
      <w:r>
        <w:t>R</w:t>
      </w:r>
      <w:r w:rsidRPr="004A0167">
        <w:t xml:space="preserve">eed, </w:t>
      </w:r>
      <w:r w:rsidRPr="00975A90">
        <w:t>Director, Climate Change and Energy, Australian Industry Group</w:t>
      </w:r>
      <w:r>
        <w:t xml:space="preserve">, </w:t>
      </w:r>
      <w:r w:rsidRPr="006C6E40">
        <w:t xml:space="preserve">14 March 2025, p </w:t>
      </w:r>
      <w:r>
        <w:t>31</w:t>
      </w:r>
      <w:r w:rsidRPr="006C6E40">
        <w:t>.</w:t>
      </w:r>
    </w:p>
  </w:footnote>
  <w:footnote w:id="97">
    <w:p w14:paraId="1F108C98" w14:textId="4124CCB5" w:rsidR="005F52AE" w:rsidRDefault="005F52AE">
      <w:pPr>
        <w:pStyle w:val="FootnoteText"/>
      </w:pPr>
      <w:r>
        <w:rPr>
          <w:rStyle w:val="FootnoteReference"/>
        </w:rPr>
        <w:footnoteRef/>
      </w:r>
      <w:r>
        <w:t xml:space="preserve"> </w:t>
      </w:r>
      <w:r>
        <w:tab/>
        <w:t xml:space="preserve">Evidence, </w:t>
      </w:r>
      <w:r w:rsidRPr="004A0167">
        <w:t xml:space="preserve">Mr </w:t>
      </w:r>
      <w:r>
        <w:t>T</w:t>
      </w:r>
      <w:r w:rsidRPr="004A0167">
        <w:t xml:space="preserve">ennant </w:t>
      </w:r>
      <w:r>
        <w:t>R</w:t>
      </w:r>
      <w:r w:rsidRPr="004A0167">
        <w:t xml:space="preserve">eed, </w:t>
      </w:r>
      <w:r w:rsidRPr="006C6E40">
        <w:t xml:space="preserve">14 March 2025, p </w:t>
      </w:r>
      <w:r>
        <w:t>31</w:t>
      </w:r>
      <w:r w:rsidRPr="006C6E40">
        <w:t>.</w:t>
      </w:r>
    </w:p>
  </w:footnote>
  <w:footnote w:id="98">
    <w:p w14:paraId="58EE59D7" w14:textId="3BCE0868" w:rsidR="005F52AE" w:rsidRDefault="005F52AE">
      <w:pPr>
        <w:pStyle w:val="FootnoteText"/>
      </w:pPr>
      <w:r>
        <w:rPr>
          <w:rStyle w:val="FootnoteReference"/>
        </w:rPr>
        <w:footnoteRef/>
      </w:r>
      <w:r>
        <w:t xml:space="preserve"> </w:t>
      </w:r>
      <w:r>
        <w:tab/>
        <w:t xml:space="preserve">Evidence, </w:t>
      </w:r>
      <w:r w:rsidRPr="004A0167">
        <w:t xml:space="preserve">Mr </w:t>
      </w:r>
      <w:r>
        <w:t>T</w:t>
      </w:r>
      <w:r w:rsidRPr="004A0167">
        <w:t xml:space="preserve">ennant </w:t>
      </w:r>
      <w:r>
        <w:t>R</w:t>
      </w:r>
      <w:r w:rsidRPr="004A0167">
        <w:t>eed,</w:t>
      </w:r>
      <w:r>
        <w:t xml:space="preserve"> </w:t>
      </w:r>
      <w:r w:rsidRPr="006C6E40">
        <w:t xml:space="preserve">14 March 2025, p </w:t>
      </w:r>
      <w:r>
        <w:t>31</w:t>
      </w:r>
      <w:r w:rsidRPr="006C6E40">
        <w:t>.</w:t>
      </w:r>
    </w:p>
  </w:footnote>
  <w:footnote w:id="99">
    <w:p w14:paraId="4AF976E7"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p </w:t>
      </w:r>
      <w:r>
        <w:t>38</w:t>
      </w:r>
      <w:r w:rsidRPr="000B38C5">
        <w:t>.</w:t>
      </w:r>
    </w:p>
  </w:footnote>
  <w:footnote w:id="100">
    <w:p w14:paraId="5F53680A" w14:textId="77777777" w:rsidR="005F52AE" w:rsidRDefault="005F52AE">
      <w:pPr>
        <w:pStyle w:val="FootnoteText"/>
      </w:pPr>
      <w:r>
        <w:rPr>
          <w:rStyle w:val="FootnoteReference"/>
        </w:rPr>
        <w:footnoteRef/>
      </w:r>
      <w:r>
        <w:t xml:space="preserve"> </w:t>
      </w:r>
      <w:r>
        <w:tab/>
        <w:t xml:space="preserve">Submission 54, </w:t>
      </w:r>
      <w:r w:rsidRPr="00FC3B11">
        <w:t>National Environmental Law Association</w:t>
      </w:r>
      <w:r>
        <w:t>, p 4.</w:t>
      </w:r>
    </w:p>
  </w:footnote>
  <w:footnote w:id="101">
    <w:p w14:paraId="1DCB2598"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43.</w:t>
      </w:r>
    </w:p>
  </w:footnote>
  <w:footnote w:id="102">
    <w:p w14:paraId="156E0985" w14:textId="77777777" w:rsidR="005F52AE" w:rsidRDefault="005F52AE">
      <w:pPr>
        <w:pStyle w:val="FootnoteText"/>
      </w:pPr>
      <w:r>
        <w:rPr>
          <w:rStyle w:val="FootnoteReference"/>
        </w:rPr>
        <w:footnoteRef/>
      </w:r>
      <w:r>
        <w:t xml:space="preserve"> </w:t>
      </w:r>
      <w:r>
        <w:tab/>
        <w:t xml:space="preserve">For example: Submission 57, Sydney Knitting Nannas, p 1; Submission 72, Mrs Sarah Lukeman, p 1; Submission 4, Mr Barry </w:t>
      </w:r>
      <w:proofErr w:type="spellStart"/>
      <w:r>
        <w:t>Hadaway</w:t>
      </w:r>
      <w:proofErr w:type="spellEnd"/>
      <w:r>
        <w:t>, p 1; Submission 5, Healthy Futures, p 1; Submission 16, Wollar Progress Association, pp 1-</w:t>
      </w:r>
      <w:proofErr w:type="gramStart"/>
      <w:r>
        <w:t>3;  Submission</w:t>
      </w:r>
      <w:proofErr w:type="gramEnd"/>
      <w:r>
        <w:t xml:space="preserve"> 31, Bathurst Community Climate Action Network, p 2; Submission 65, Geni Energy, p 1; Submission 82, Australian Conservation Foundation, p 10; Submission 88, Environmental </w:t>
      </w:r>
      <w:proofErr w:type="spellStart"/>
      <w:r>
        <w:t>Defense</w:t>
      </w:r>
      <w:proofErr w:type="spellEnd"/>
      <w:r>
        <w:t xml:space="preserve"> Fund, pp 1-2.</w:t>
      </w:r>
    </w:p>
  </w:footnote>
  <w:footnote w:id="103">
    <w:p w14:paraId="396FE9DD" w14:textId="77777777" w:rsidR="005F52AE" w:rsidRDefault="005F52AE">
      <w:pPr>
        <w:pStyle w:val="FootnoteText"/>
      </w:pPr>
      <w:r>
        <w:rPr>
          <w:rStyle w:val="FootnoteReference"/>
        </w:rPr>
        <w:footnoteRef/>
      </w:r>
      <w:r>
        <w:t xml:space="preserve"> </w:t>
      </w:r>
      <w:r>
        <w:tab/>
        <w:t>Submission 62, Institute for Energy Economics and Financial Analysis, p 3.</w:t>
      </w:r>
    </w:p>
  </w:footnote>
  <w:footnote w:id="104">
    <w:p w14:paraId="156BA61E" w14:textId="77777777" w:rsidR="005F52AE" w:rsidRDefault="005F52AE">
      <w:pPr>
        <w:pStyle w:val="FootnoteText"/>
      </w:pPr>
      <w:r>
        <w:rPr>
          <w:rStyle w:val="FootnoteReference"/>
        </w:rPr>
        <w:footnoteRef/>
      </w:r>
      <w:r>
        <w:t xml:space="preserve"> </w:t>
      </w:r>
      <w:r>
        <w:tab/>
        <w:t>Submission 53, Lock the Gate Alliance, p 4.</w:t>
      </w:r>
    </w:p>
  </w:footnote>
  <w:footnote w:id="105">
    <w:p w14:paraId="5DD096C7" w14:textId="77207C8A" w:rsidR="005F52AE" w:rsidRDefault="005F52AE">
      <w:pPr>
        <w:pStyle w:val="FootnoteText"/>
      </w:pPr>
      <w:r>
        <w:rPr>
          <w:rStyle w:val="FootnoteReference"/>
        </w:rPr>
        <w:footnoteRef/>
      </w:r>
      <w:r>
        <w:t xml:space="preserve"> </w:t>
      </w:r>
      <w:r>
        <w:tab/>
        <w:t>Submission 87, Wilderness Australia</w:t>
      </w:r>
      <w:r w:rsidR="00C327DD">
        <w:t xml:space="preserve"> 2</w:t>
      </w:r>
      <w:r>
        <w:t>, p 2; Submission 61, Ember, p 6.</w:t>
      </w:r>
    </w:p>
  </w:footnote>
  <w:footnote w:id="106">
    <w:p w14:paraId="26352DE1"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44.</w:t>
      </w:r>
    </w:p>
  </w:footnote>
  <w:footnote w:id="107">
    <w:p w14:paraId="612DE58E" w14:textId="6300A2E2"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44; Submission 61, Ember, p 4; Submission 87</w:t>
      </w:r>
      <w:r w:rsidR="00322BB7">
        <w:t xml:space="preserve"> Wilderness Australia, </w:t>
      </w:r>
      <w:proofErr w:type="gramStart"/>
      <w:r w:rsidR="00322BB7">
        <w:t xml:space="preserve">p </w:t>
      </w:r>
      <w:r>
        <w:t>;</w:t>
      </w:r>
      <w:proofErr w:type="gramEnd"/>
      <w:r>
        <w:t xml:space="preserve"> Submission 1, Citizens</w:t>
      </w:r>
      <w:r w:rsidR="007D1E9C">
        <w:t>’</w:t>
      </w:r>
      <w:r>
        <w:t xml:space="preserve"> Climate Lobby, p 1.</w:t>
      </w:r>
    </w:p>
  </w:footnote>
  <w:footnote w:id="108">
    <w:p w14:paraId="38CC6A1A" w14:textId="77777777" w:rsidR="005F52AE" w:rsidRDefault="005F52AE">
      <w:pPr>
        <w:pStyle w:val="FootnoteText"/>
      </w:pPr>
      <w:r>
        <w:rPr>
          <w:rStyle w:val="FootnoteReference"/>
        </w:rPr>
        <w:footnoteRef/>
      </w:r>
      <w:r>
        <w:t xml:space="preserve"> </w:t>
      </w:r>
      <w:r>
        <w:tab/>
        <w:t xml:space="preserve">Submission 88, Environmental </w:t>
      </w:r>
      <w:proofErr w:type="spellStart"/>
      <w:r>
        <w:t>Defense</w:t>
      </w:r>
      <w:proofErr w:type="spellEnd"/>
      <w:r>
        <w:t xml:space="preserve"> Fund, p 2.</w:t>
      </w:r>
    </w:p>
  </w:footnote>
  <w:footnote w:id="109">
    <w:p w14:paraId="150F4868" w14:textId="77777777" w:rsidR="005F52AE" w:rsidRDefault="005F52AE">
      <w:pPr>
        <w:pStyle w:val="FootnoteText"/>
      </w:pPr>
      <w:r>
        <w:rPr>
          <w:rStyle w:val="FootnoteReference"/>
        </w:rPr>
        <w:footnoteRef/>
      </w:r>
      <w:r>
        <w:t xml:space="preserve"> </w:t>
      </w:r>
      <w:r>
        <w:tab/>
        <w:t xml:space="preserve">Submission 88, </w:t>
      </w:r>
      <w:bookmarkStart w:id="65" w:name="_Hlk191563683"/>
      <w:r>
        <w:t xml:space="preserve">Environmental </w:t>
      </w:r>
      <w:proofErr w:type="spellStart"/>
      <w:r>
        <w:t>Defense</w:t>
      </w:r>
      <w:proofErr w:type="spellEnd"/>
      <w:r>
        <w:t xml:space="preserve"> Fund</w:t>
      </w:r>
      <w:bookmarkEnd w:id="65"/>
      <w:r>
        <w:t xml:space="preserve">, p 2; See for example: Submission 61, Ember, p 11; Submission 80, Peak Carbon, pp 4-5. </w:t>
      </w:r>
    </w:p>
  </w:footnote>
  <w:footnote w:id="110">
    <w:p w14:paraId="065972E9" w14:textId="77777777" w:rsidR="005F52AE" w:rsidRDefault="005F52AE">
      <w:pPr>
        <w:pStyle w:val="FootnoteText"/>
      </w:pPr>
      <w:r>
        <w:rPr>
          <w:rStyle w:val="FootnoteReference"/>
        </w:rPr>
        <w:footnoteRef/>
      </w:r>
      <w:r>
        <w:t xml:space="preserve"> </w:t>
      </w:r>
      <w:r>
        <w:tab/>
        <w:t>Submission 63, Institute for Energy Economics and Financial Analysis, p 5.</w:t>
      </w:r>
    </w:p>
  </w:footnote>
  <w:footnote w:id="111">
    <w:p w14:paraId="3099FFCE" w14:textId="77777777" w:rsidR="005F52AE" w:rsidRDefault="005F52AE">
      <w:pPr>
        <w:pStyle w:val="FootnoteText"/>
      </w:pPr>
      <w:r>
        <w:rPr>
          <w:rStyle w:val="FootnoteReference"/>
        </w:rPr>
        <w:footnoteRef/>
      </w:r>
      <w:r>
        <w:t xml:space="preserve"> </w:t>
      </w:r>
      <w:r>
        <w:tab/>
        <w:t>Submission 51, Ember, p 3; Submission 56, The Superpower Institute, p 2; Submission 53, Lock the Gate Alliance, pp 2-3; Submission 58, Environmental Defenders Office, p 5-6; See also: Media release, Superpower institute, ‘</w:t>
      </w:r>
      <w:r w:rsidRPr="00F22BAF">
        <w:t>Groundbreaking satellite monitoring tool shows significant underestimation of methane emissions from fossil fuel sites</w:t>
      </w:r>
      <w:r>
        <w:t xml:space="preserve">’, </w:t>
      </w:r>
      <w:r w:rsidRPr="00C739AA">
        <w:t xml:space="preserve">9 </w:t>
      </w:r>
      <w:proofErr w:type="gramStart"/>
      <w:r w:rsidRPr="00C739AA">
        <w:t>October,</w:t>
      </w:r>
      <w:proofErr w:type="gramEnd"/>
      <w:r w:rsidRPr="00C739AA">
        <w:t xml:space="preserve"> 2024.</w:t>
      </w:r>
    </w:p>
  </w:footnote>
  <w:footnote w:id="112">
    <w:p w14:paraId="1EF74D4B" w14:textId="77777777" w:rsidR="005F52AE" w:rsidRDefault="005F52AE">
      <w:pPr>
        <w:pStyle w:val="FootnoteText"/>
      </w:pPr>
      <w:r>
        <w:rPr>
          <w:rStyle w:val="FootnoteReference"/>
        </w:rPr>
        <w:footnoteRef/>
      </w:r>
      <w:r>
        <w:t xml:space="preserve"> </w:t>
      </w:r>
      <w:r>
        <w:tab/>
        <w:t>Submission 56, The Superpower Institute, p 3.</w:t>
      </w:r>
    </w:p>
  </w:footnote>
  <w:footnote w:id="113">
    <w:p w14:paraId="105CE65A" w14:textId="77777777" w:rsidR="005F52AE" w:rsidRDefault="005F52AE">
      <w:pPr>
        <w:pStyle w:val="FootnoteText"/>
      </w:pPr>
      <w:r>
        <w:rPr>
          <w:rStyle w:val="FootnoteReference"/>
        </w:rPr>
        <w:footnoteRef/>
      </w:r>
      <w:r>
        <w:t xml:space="preserve"> </w:t>
      </w:r>
      <w:r>
        <w:tab/>
        <w:t>Submission 56, The Superpower Institute, p 3.</w:t>
      </w:r>
    </w:p>
  </w:footnote>
  <w:footnote w:id="114">
    <w:p w14:paraId="56FDD5B3" w14:textId="77777777" w:rsidR="005F52AE" w:rsidRDefault="005F52AE">
      <w:pPr>
        <w:pStyle w:val="FootnoteText"/>
      </w:pPr>
      <w:r>
        <w:rPr>
          <w:rStyle w:val="FootnoteReference"/>
        </w:rPr>
        <w:footnoteRef/>
      </w:r>
      <w:r>
        <w:t xml:space="preserve"> </w:t>
      </w:r>
      <w:r>
        <w:tab/>
        <w:t>Submission 61, Ember, p 3.</w:t>
      </w:r>
    </w:p>
  </w:footnote>
  <w:footnote w:id="115">
    <w:p w14:paraId="62FC070C" w14:textId="77777777" w:rsidR="005F52AE" w:rsidRDefault="005F52AE">
      <w:pPr>
        <w:pStyle w:val="FootnoteText"/>
      </w:pPr>
      <w:r>
        <w:rPr>
          <w:rStyle w:val="FootnoteReference"/>
        </w:rPr>
        <w:footnoteRef/>
      </w:r>
      <w:r>
        <w:t xml:space="preserve"> </w:t>
      </w:r>
      <w:r>
        <w:tab/>
        <w:t>Submission 61, Ember, p 3.</w:t>
      </w:r>
    </w:p>
  </w:footnote>
  <w:footnote w:id="116">
    <w:p w14:paraId="79A73B16" w14:textId="688726D2" w:rsidR="005F52AE" w:rsidRPr="00526515" w:rsidRDefault="005F52AE">
      <w:pPr>
        <w:pStyle w:val="FootnoteText"/>
      </w:pPr>
      <w:r>
        <w:rPr>
          <w:rStyle w:val="FootnoteReference"/>
        </w:rPr>
        <w:footnoteRef/>
      </w:r>
      <w:r>
        <w:t xml:space="preserve"> </w:t>
      </w:r>
      <w:r>
        <w:tab/>
        <w:t>Submission 38, NSW Minerals Council, p 4</w:t>
      </w:r>
      <w:r w:rsidR="00900F38">
        <w:t>.</w:t>
      </w:r>
    </w:p>
  </w:footnote>
  <w:footnote w:id="117">
    <w:p w14:paraId="1F92B221" w14:textId="77777777" w:rsidR="005F52AE" w:rsidRPr="00526515" w:rsidRDefault="005F52AE">
      <w:pPr>
        <w:pStyle w:val="FootnoteText"/>
      </w:pPr>
      <w:r>
        <w:rPr>
          <w:rStyle w:val="FootnoteReference"/>
        </w:rPr>
        <w:footnoteRef/>
      </w:r>
      <w:r>
        <w:t xml:space="preserve"> </w:t>
      </w:r>
      <w:r>
        <w:tab/>
        <w:t xml:space="preserve">Submission 38, NSW Minerals Council, p 4; See also Department of Jobs, Tourism, Science and Innovation (WA), </w:t>
      </w:r>
      <w:r w:rsidRPr="00E30838">
        <w:rPr>
          <w:i/>
          <w:iCs/>
        </w:rPr>
        <w:t>Independent report</w:t>
      </w:r>
      <w:r>
        <w:rPr>
          <w:i/>
          <w:iCs/>
        </w:rPr>
        <w:t xml:space="preserve">: </w:t>
      </w:r>
      <w:r w:rsidRPr="00E30838">
        <w:rPr>
          <w:i/>
          <w:iCs/>
        </w:rPr>
        <w:t>A list of recommendations from the Vogel-</w:t>
      </w:r>
      <w:proofErr w:type="spellStart"/>
      <w:r w:rsidRPr="00E30838">
        <w:rPr>
          <w:i/>
          <w:iCs/>
        </w:rPr>
        <w:t>McFerran</w:t>
      </w:r>
      <w:proofErr w:type="spellEnd"/>
      <w:r w:rsidRPr="00E30838">
        <w:rPr>
          <w:i/>
          <w:iCs/>
        </w:rPr>
        <w:t xml:space="preserve"> Review</w:t>
      </w:r>
      <w:r>
        <w:rPr>
          <w:i/>
          <w:iCs/>
        </w:rPr>
        <w:t xml:space="preserve"> </w:t>
      </w:r>
      <w:r>
        <w:t>(11 October 2024).</w:t>
      </w:r>
    </w:p>
  </w:footnote>
  <w:footnote w:id="118">
    <w:p w14:paraId="59C86EA2" w14:textId="77777777" w:rsidR="005F52AE" w:rsidRDefault="005F52AE">
      <w:pPr>
        <w:pStyle w:val="FootnoteText"/>
      </w:pPr>
      <w:r>
        <w:rPr>
          <w:rStyle w:val="FootnoteReference"/>
        </w:rPr>
        <w:footnoteRef/>
      </w:r>
      <w:r>
        <w:t xml:space="preserve"> </w:t>
      </w:r>
      <w:r>
        <w:tab/>
        <w:t>Submission 53, Lock the Gate Alliance, p 5; Submission 5, Healthy Futures, p 5; Submission 35, Climate Change Balmain-Rozelle, p 2.</w:t>
      </w:r>
    </w:p>
  </w:footnote>
  <w:footnote w:id="119">
    <w:p w14:paraId="79492419" w14:textId="77777777" w:rsidR="005F52AE" w:rsidRDefault="005F52AE">
      <w:pPr>
        <w:pStyle w:val="FootnoteText"/>
      </w:pPr>
      <w:r>
        <w:rPr>
          <w:rStyle w:val="FootnoteReference"/>
        </w:rPr>
        <w:footnoteRef/>
      </w:r>
      <w:r>
        <w:t xml:space="preserve"> </w:t>
      </w:r>
      <w:r>
        <w:tab/>
        <w:t xml:space="preserve">Submission 58, Environmental Defenders Office, p 5. </w:t>
      </w:r>
    </w:p>
  </w:footnote>
  <w:footnote w:id="120">
    <w:p w14:paraId="05FADED4"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 p 48.</w:t>
      </w:r>
    </w:p>
  </w:footnote>
  <w:footnote w:id="121">
    <w:p w14:paraId="0443155B" w14:textId="77777777" w:rsidR="005F52AE" w:rsidRDefault="005F52AE">
      <w:pPr>
        <w:pStyle w:val="FootnoteText"/>
      </w:pPr>
      <w:r>
        <w:rPr>
          <w:rStyle w:val="FootnoteReference"/>
        </w:rPr>
        <w:footnoteRef/>
      </w:r>
      <w:r>
        <w:t xml:space="preserve"> </w:t>
      </w:r>
      <w:r>
        <w:tab/>
        <w:t>Submission 55, Property Council of Australia, p 1.</w:t>
      </w:r>
    </w:p>
  </w:footnote>
  <w:footnote w:id="122">
    <w:p w14:paraId="1C96E93A" w14:textId="77777777" w:rsidR="005F52AE" w:rsidRDefault="005F52AE">
      <w:pPr>
        <w:pStyle w:val="FootnoteText"/>
      </w:pPr>
      <w:r>
        <w:rPr>
          <w:rStyle w:val="FootnoteReference"/>
        </w:rPr>
        <w:footnoteRef/>
      </w:r>
      <w:r>
        <w:t xml:space="preserve"> </w:t>
      </w:r>
      <w:r>
        <w:tab/>
        <w:t>Submission 55, Property Council of Australia, p 1.</w:t>
      </w:r>
    </w:p>
  </w:footnote>
  <w:footnote w:id="123">
    <w:p w14:paraId="647E0D24" w14:textId="77777777" w:rsidR="005F52AE" w:rsidRDefault="005F52AE">
      <w:pPr>
        <w:pStyle w:val="FootnoteText"/>
      </w:pPr>
      <w:r>
        <w:rPr>
          <w:rStyle w:val="FootnoteReference"/>
        </w:rPr>
        <w:footnoteRef/>
      </w:r>
      <w:r>
        <w:t xml:space="preserve"> </w:t>
      </w:r>
      <w:r>
        <w:tab/>
        <w:t>Submission 55, Property Council of Australia, p 1.</w:t>
      </w:r>
    </w:p>
  </w:footnote>
  <w:footnote w:id="124">
    <w:p w14:paraId="52CB0B53" w14:textId="77777777" w:rsidR="005F52AE" w:rsidRDefault="005F52AE">
      <w:pPr>
        <w:pStyle w:val="FootnoteText"/>
      </w:pPr>
      <w:r>
        <w:rPr>
          <w:rStyle w:val="FootnoteReference"/>
        </w:rPr>
        <w:footnoteRef/>
      </w:r>
      <w:r>
        <w:t xml:space="preserve"> </w:t>
      </w:r>
      <w:r>
        <w:tab/>
        <w:t>Submission 33, Justice and Equity Centre, p 13; Submission 42, Nature Conservation Council of NSW, p 6.</w:t>
      </w:r>
    </w:p>
  </w:footnote>
  <w:footnote w:id="125">
    <w:p w14:paraId="527E428C" w14:textId="77777777" w:rsidR="005F52AE" w:rsidRDefault="005F52AE">
      <w:pPr>
        <w:pStyle w:val="FootnoteText"/>
      </w:pPr>
      <w:r>
        <w:rPr>
          <w:rStyle w:val="FootnoteReference"/>
        </w:rPr>
        <w:footnoteRef/>
      </w:r>
      <w:r>
        <w:t xml:space="preserve"> </w:t>
      </w:r>
      <w:r>
        <w:tab/>
        <w:t>Submission 59, Green Building Council of Australia, p 7.</w:t>
      </w:r>
    </w:p>
  </w:footnote>
  <w:footnote w:id="126">
    <w:p w14:paraId="50CBD511"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 p 49.</w:t>
      </w:r>
    </w:p>
  </w:footnote>
  <w:footnote w:id="127">
    <w:p w14:paraId="36B9CFB5" w14:textId="77777777" w:rsidR="005F52AE" w:rsidRDefault="005F52AE">
      <w:pPr>
        <w:pStyle w:val="FootnoteText"/>
      </w:pPr>
      <w:r>
        <w:rPr>
          <w:rStyle w:val="FootnoteReference"/>
        </w:rPr>
        <w:footnoteRef/>
      </w:r>
      <w:r>
        <w:t xml:space="preserve"> </w:t>
      </w:r>
      <w:r>
        <w:tab/>
        <w:t>Submission 14, NSW Branch of Doctors for the Environment Australia, p 1.</w:t>
      </w:r>
    </w:p>
  </w:footnote>
  <w:footnote w:id="128">
    <w:p w14:paraId="11622720" w14:textId="62A4E746" w:rsidR="005F52AE" w:rsidRDefault="005F52AE">
      <w:pPr>
        <w:pStyle w:val="FootnoteText"/>
      </w:pPr>
      <w:r>
        <w:rPr>
          <w:rStyle w:val="FootnoteReference"/>
        </w:rPr>
        <w:footnoteRef/>
      </w:r>
      <w:r>
        <w:t xml:space="preserve"> </w:t>
      </w:r>
      <w:r>
        <w:tab/>
        <w:t>Submission 55, Property Council of Australia, pp 21</w:t>
      </w:r>
      <w:r w:rsidR="00F20472">
        <w:t>-</w:t>
      </w:r>
      <w:r>
        <w:t>26.</w:t>
      </w:r>
    </w:p>
  </w:footnote>
  <w:footnote w:id="129">
    <w:p w14:paraId="7D83BE54" w14:textId="77777777" w:rsidR="005F52AE" w:rsidRDefault="005F52AE">
      <w:pPr>
        <w:pStyle w:val="FootnoteText"/>
      </w:pPr>
      <w:r>
        <w:rPr>
          <w:rStyle w:val="FootnoteReference"/>
        </w:rPr>
        <w:footnoteRef/>
      </w:r>
      <w:r>
        <w:t xml:space="preserve"> </w:t>
      </w:r>
      <w:r>
        <w:tab/>
        <w:t xml:space="preserve">Submission, Healthy Futures, p 3; Submission 33, Justice and Equity Centre, p 13; Submission 14, Doctors for the Environment Australia, p 3; Submission 57, Sydney Knitting Nannas, p 2. </w:t>
      </w:r>
    </w:p>
  </w:footnote>
  <w:footnote w:id="130">
    <w:p w14:paraId="42299633" w14:textId="77777777" w:rsidR="005F52AE" w:rsidRDefault="005F52AE">
      <w:pPr>
        <w:pStyle w:val="FootnoteText"/>
      </w:pPr>
      <w:r>
        <w:rPr>
          <w:rStyle w:val="FootnoteReference"/>
        </w:rPr>
        <w:footnoteRef/>
      </w:r>
      <w:r>
        <w:t xml:space="preserve"> </w:t>
      </w:r>
      <w:r>
        <w:tab/>
        <w:t xml:space="preserve">Evidence, Ms Francesca </w:t>
      </w:r>
      <w:proofErr w:type="spellStart"/>
      <w:r>
        <w:t>Muskovic</w:t>
      </w:r>
      <w:proofErr w:type="spellEnd"/>
      <w:r>
        <w:t>, National Policy Director, Property Council of Australia, 14 March 2025, p 27.</w:t>
      </w:r>
    </w:p>
  </w:footnote>
  <w:footnote w:id="131">
    <w:p w14:paraId="5073FBC4" w14:textId="50F78FD3" w:rsidR="005F52AE" w:rsidRDefault="005F52AE">
      <w:pPr>
        <w:pStyle w:val="FootnoteText"/>
      </w:pPr>
      <w:r>
        <w:rPr>
          <w:rStyle w:val="FootnoteReference"/>
        </w:rPr>
        <w:footnoteRef/>
      </w:r>
      <w:r>
        <w:t xml:space="preserve"> </w:t>
      </w:r>
      <w:r>
        <w:tab/>
        <w:t xml:space="preserve">Evidence, Mr Tennant Reed, </w:t>
      </w:r>
      <w:r w:rsidRPr="006C6E40">
        <w:t xml:space="preserve">14 March 2025, p </w:t>
      </w:r>
      <w:r>
        <w:t>28</w:t>
      </w:r>
      <w:r w:rsidRPr="006C6E40">
        <w:t>.</w:t>
      </w:r>
    </w:p>
  </w:footnote>
  <w:footnote w:id="132">
    <w:p w14:paraId="0C8E74DC" w14:textId="4F9E9FA2" w:rsidR="005F52AE" w:rsidRDefault="005F52AE">
      <w:pPr>
        <w:pStyle w:val="FootnoteText"/>
      </w:pPr>
      <w:r>
        <w:rPr>
          <w:rStyle w:val="FootnoteReference"/>
        </w:rPr>
        <w:footnoteRef/>
      </w:r>
      <w:r>
        <w:t xml:space="preserve"> </w:t>
      </w:r>
      <w:r>
        <w:tab/>
        <w:t xml:space="preserve">Evidence, Mr Tennant Reed, </w:t>
      </w:r>
      <w:r w:rsidRPr="006C6E40">
        <w:t xml:space="preserve">14 March 2025, p </w:t>
      </w:r>
      <w:r>
        <w:t>28</w:t>
      </w:r>
      <w:r w:rsidRPr="006C6E40">
        <w:t>.</w:t>
      </w:r>
    </w:p>
  </w:footnote>
  <w:footnote w:id="133">
    <w:p w14:paraId="5025C98D" w14:textId="77777777" w:rsidR="005F52AE" w:rsidRDefault="005F52AE">
      <w:pPr>
        <w:pStyle w:val="FootnoteText"/>
      </w:pPr>
      <w:r>
        <w:rPr>
          <w:rStyle w:val="FootnoteReference"/>
        </w:rPr>
        <w:footnoteRef/>
      </w:r>
      <w:r>
        <w:t xml:space="preserve"> </w:t>
      </w:r>
      <w:r>
        <w:tab/>
      </w:r>
      <w:r w:rsidRPr="000C2F1E">
        <w:t>Submission 33, Justice and Equity Centre, p 33</w:t>
      </w:r>
      <w:r>
        <w:t>.</w:t>
      </w:r>
    </w:p>
  </w:footnote>
  <w:footnote w:id="134">
    <w:p w14:paraId="54B217D0"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 p 53.</w:t>
      </w:r>
    </w:p>
  </w:footnote>
  <w:footnote w:id="135">
    <w:p w14:paraId="4F486E7D"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52.</w:t>
      </w:r>
    </w:p>
  </w:footnote>
  <w:footnote w:id="136">
    <w:p w14:paraId="28C388C7"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53.</w:t>
      </w:r>
    </w:p>
  </w:footnote>
  <w:footnote w:id="137">
    <w:p w14:paraId="70630C30"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52.</w:t>
      </w:r>
    </w:p>
  </w:footnote>
  <w:footnote w:id="138">
    <w:p w14:paraId="22D77BBC"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52.</w:t>
      </w:r>
    </w:p>
  </w:footnote>
  <w:footnote w:id="139">
    <w:p w14:paraId="3FB29D29"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54.</w:t>
      </w:r>
    </w:p>
  </w:footnote>
  <w:footnote w:id="140">
    <w:p w14:paraId="4243FAC5"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t>p 55.</w:t>
      </w:r>
    </w:p>
  </w:footnote>
  <w:footnote w:id="141">
    <w:p w14:paraId="44F83F58"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BC587A">
        <w:t>p 5</w:t>
      </w:r>
      <w:r>
        <w:t>6</w:t>
      </w:r>
      <w:r w:rsidRPr="00BC587A">
        <w:t>.</w:t>
      </w:r>
    </w:p>
  </w:footnote>
  <w:footnote w:id="142">
    <w:p w14:paraId="02A2DC67"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BC587A">
        <w:t>p 5</w:t>
      </w:r>
      <w:r>
        <w:t>6</w:t>
      </w:r>
      <w:r w:rsidRPr="00BC587A">
        <w:t>.</w:t>
      </w:r>
    </w:p>
  </w:footnote>
  <w:footnote w:id="143">
    <w:p w14:paraId="3CEE0F32" w14:textId="77777777" w:rsidR="005F52AE" w:rsidRDefault="005F52AE">
      <w:pPr>
        <w:pStyle w:val="FootnoteText"/>
      </w:pPr>
      <w:r>
        <w:rPr>
          <w:rStyle w:val="FootnoteReference"/>
        </w:rPr>
        <w:footnoteRef/>
      </w:r>
      <w:r>
        <w:t xml:space="preserve"> </w:t>
      </w:r>
      <w:r>
        <w:tab/>
        <w:t xml:space="preserve">Evidence, </w:t>
      </w:r>
      <w:r w:rsidRPr="001D4499">
        <w:t xml:space="preserve">Dr Will </w:t>
      </w:r>
      <w:proofErr w:type="spellStart"/>
      <w:r w:rsidRPr="001D4499">
        <w:t>Rayward</w:t>
      </w:r>
      <w:proofErr w:type="spellEnd"/>
      <w:r w:rsidRPr="001D4499">
        <w:t>-Smith, Executive Director, Net Zero Commission,</w:t>
      </w:r>
      <w:r>
        <w:t xml:space="preserve"> 14 March 2025, p 44.</w:t>
      </w:r>
    </w:p>
  </w:footnote>
  <w:footnote w:id="144">
    <w:p w14:paraId="13C9B85A"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57.</w:t>
      </w:r>
    </w:p>
  </w:footnote>
  <w:footnote w:id="145">
    <w:p w14:paraId="3CB20E3E" w14:textId="4FB946EC" w:rsidR="005F52AE" w:rsidRDefault="005F52AE">
      <w:pPr>
        <w:pStyle w:val="FootnoteText"/>
      </w:pPr>
      <w:r>
        <w:rPr>
          <w:rStyle w:val="FootnoteReference"/>
        </w:rPr>
        <w:footnoteRef/>
      </w:r>
      <w:r>
        <w:t xml:space="preserve"> </w:t>
      </w:r>
      <w:r>
        <w:tab/>
        <w:t>Submission 1, Citizens</w:t>
      </w:r>
      <w:r w:rsidR="00D87854">
        <w:t>’</w:t>
      </w:r>
      <w:r>
        <w:t xml:space="preserve"> Climate Lobby</w:t>
      </w:r>
      <w:r w:rsidR="00D87854">
        <w:t xml:space="preserve"> Australia</w:t>
      </w:r>
      <w:r>
        <w:t>, p 3.</w:t>
      </w:r>
    </w:p>
  </w:footnote>
  <w:footnote w:id="146">
    <w:p w14:paraId="15D9272F"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59.</w:t>
      </w:r>
    </w:p>
  </w:footnote>
  <w:footnote w:id="147">
    <w:p w14:paraId="46C0F490"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59.</w:t>
      </w:r>
    </w:p>
  </w:footnote>
  <w:footnote w:id="148">
    <w:p w14:paraId="737324E1" w14:textId="77777777" w:rsidR="005F52AE" w:rsidRDefault="005F52AE">
      <w:pPr>
        <w:pStyle w:val="FootnoteText"/>
      </w:pPr>
      <w:r>
        <w:rPr>
          <w:rStyle w:val="FootnoteReference"/>
        </w:rPr>
        <w:footnoteRef/>
      </w:r>
      <w:r>
        <w:t xml:space="preserve"> </w:t>
      </w:r>
      <w:r>
        <w:tab/>
        <w:t xml:space="preserve">Submission 54, </w:t>
      </w:r>
      <w:r w:rsidRPr="00DE53F7">
        <w:t>National Environmental Law Association</w:t>
      </w:r>
      <w:r>
        <w:t>, p 4.</w:t>
      </w:r>
    </w:p>
  </w:footnote>
  <w:footnote w:id="149">
    <w:p w14:paraId="235AD383" w14:textId="77777777" w:rsidR="005F52AE" w:rsidRDefault="005F52AE">
      <w:pPr>
        <w:pStyle w:val="FootnoteText"/>
      </w:pPr>
      <w:r>
        <w:rPr>
          <w:rStyle w:val="FootnoteReference"/>
        </w:rPr>
        <w:footnoteRef/>
      </w:r>
      <w:r>
        <w:t xml:space="preserve"> </w:t>
      </w:r>
      <w:r>
        <w:tab/>
        <w:t xml:space="preserve">Submission 54, </w:t>
      </w:r>
      <w:r w:rsidRPr="00DE53F7">
        <w:t>National Environmental Law Association</w:t>
      </w:r>
      <w:r>
        <w:t>, p 5.</w:t>
      </w:r>
    </w:p>
  </w:footnote>
  <w:footnote w:id="150">
    <w:p w14:paraId="6E710128"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65.</w:t>
      </w:r>
    </w:p>
  </w:footnote>
  <w:footnote w:id="151">
    <w:p w14:paraId="0046610F"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58.</w:t>
      </w:r>
    </w:p>
  </w:footnote>
  <w:footnote w:id="152">
    <w:p w14:paraId="270623F0"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63.</w:t>
      </w:r>
    </w:p>
  </w:footnote>
  <w:footnote w:id="153">
    <w:p w14:paraId="319D7D77"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63.</w:t>
      </w:r>
    </w:p>
  </w:footnote>
  <w:footnote w:id="154">
    <w:p w14:paraId="01E306D7" w14:textId="77777777" w:rsidR="005F52AE" w:rsidRDefault="005F52AE">
      <w:pPr>
        <w:pStyle w:val="FootnoteText"/>
      </w:pPr>
      <w:r>
        <w:rPr>
          <w:rStyle w:val="FootnoteReference"/>
        </w:rPr>
        <w:footnoteRef/>
      </w:r>
      <w:r>
        <w:t xml:space="preserve"> </w:t>
      </w:r>
      <w:r>
        <w:tab/>
      </w:r>
      <w:r w:rsidRPr="000B38C5">
        <w:t xml:space="preserve">Net Zero Commission (NSW), </w:t>
      </w:r>
      <w:r w:rsidRPr="00D80C1E">
        <w:rPr>
          <w:i/>
          <w:iCs/>
        </w:rPr>
        <w:t>2024 Annual Report</w:t>
      </w:r>
      <w:r>
        <w:rPr>
          <w:i/>
          <w:iCs/>
        </w:rPr>
        <w:t xml:space="preserve"> </w:t>
      </w:r>
      <w:r>
        <w:t>(</w:t>
      </w:r>
      <w:r w:rsidRPr="000B38C5">
        <w:t>2024</w:t>
      </w:r>
      <w:r>
        <w:t>)</w:t>
      </w:r>
      <w:r w:rsidRPr="000B38C5">
        <w:t xml:space="preserve">, </w:t>
      </w:r>
      <w:r w:rsidRPr="00E53674">
        <w:t xml:space="preserve">p </w:t>
      </w:r>
      <w:r>
        <w:t>63.</w:t>
      </w:r>
    </w:p>
  </w:footnote>
  <w:footnote w:id="155">
    <w:p w14:paraId="7D8A19F4" w14:textId="25FB8867" w:rsidR="005F52AE" w:rsidRDefault="005F52AE">
      <w:pPr>
        <w:pStyle w:val="FootnoteText"/>
      </w:pPr>
      <w:r>
        <w:rPr>
          <w:rStyle w:val="FootnoteReference"/>
        </w:rPr>
        <w:footnoteRef/>
      </w:r>
      <w:r>
        <w:t xml:space="preserve"> </w:t>
      </w:r>
      <w:r>
        <w:tab/>
        <w:t xml:space="preserve">Evidence, </w:t>
      </w:r>
      <w:r w:rsidRPr="00C47812">
        <w:t xml:space="preserve">Mr Raymond Kelly, </w:t>
      </w:r>
      <w:r w:rsidRPr="006C6E40">
        <w:t>14 March 2025, p 3</w:t>
      </w:r>
      <w:r>
        <w:t>5</w:t>
      </w:r>
      <w:r w:rsidRPr="006C6E40">
        <w:t>.</w:t>
      </w:r>
    </w:p>
  </w:footnote>
  <w:footnote w:id="156">
    <w:p w14:paraId="36129A28" w14:textId="77777777" w:rsidR="005F52AE" w:rsidRPr="001A569C" w:rsidRDefault="005F52AE">
      <w:pPr>
        <w:pStyle w:val="FootnoteText"/>
        <w:rPr>
          <w:i/>
          <w:iCs/>
        </w:rPr>
      </w:pPr>
      <w:r>
        <w:rPr>
          <w:rStyle w:val="FootnoteReference"/>
        </w:rPr>
        <w:footnoteRef/>
      </w:r>
      <w:r>
        <w:t xml:space="preserve"> </w:t>
      </w:r>
      <w:r>
        <w:tab/>
      </w:r>
      <w:r w:rsidRPr="00AA3C1C">
        <w:t>Independent Pricing and Regulatory Tribunal of NSW</w:t>
      </w:r>
      <w:r>
        <w:t xml:space="preserve">, </w:t>
      </w:r>
      <w:r w:rsidRPr="001A569C">
        <w:rPr>
          <w:i/>
          <w:iCs/>
        </w:rPr>
        <w:t>IPART’s investigation into the Broken Hill</w:t>
      </w:r>
    </w:p>
    <w:p w14:paraId="02B0CC53" w14:textId="3EB3845B" w:rsidR="005F52AE" w:rsidRPr="009F760E" w:rsidRDefault="005F52AE">
      <w:pPr>
        <w:pStyle w:val="FootnoteText"/>
      </w:pPr>
      <w:r>
        <w:rPr>
          <w:i/>
          <w:iCs/>
        </w:rPr>
        <w:tab/>
      </w:r>
      <w:r w:rsidRPr="001A569C">
        <w:rPr>
          <w:i/>
          <w:iCs/>
        </w:rPr>
        <w:t>tower failures and power outages</w:t>
      </w:r>
      <w:r>
        <w:rPr>
          <w:i/>
          <w:iCs/>
        </w:rPr>
        <w:t xml:space="preserve">, </w:t>
      </w:r>
      <w:r w:rsidRPr="00160A86">
        <w:t>16 December 2024</w:t>
      </w:r>
      <w:r>
        <w:t xml:space="preserve">, </w:t>
      </w:r>
      <w:r w:rsidRPr="009F760E">
        <w:t>https://www.ipart.nsw.gov.au/broken-hill-tower-failures-and-power-outages</w:t>
      </w:r>
    </w:p>
  </w:footnote>
  <w:footnote w:id="157">
    <w:p w14:paraId="539B2CD2" w14:textId="77777777" w:rsidR="005F52AE" w:rsidRDefault="005F52AE">
      <w:pPr>
        <w:pStyle w:val="FootnoteText"/>
      </w:pPr>
      <w:r>
        <w:rPr>
          <w:rStyle w:val="FootnoteReference"/>
        </w:rPr>
        <w:footnoteRef/>
      </w:r>
      <w:r>
        <w:t xml:space="preserve"> </w:t>
      </w:r>
      <w:r>
        <w:tab/>
      </w:r>
      <w:r>
        <w:rPr>
          <w:i/>
          <w:iCs/>
        </w:rPr>
        <w:t>Hansard</w:t>
      </w:r>
      <w:r w:rsidRPr="006C6E40">
        <w:t xml:space="preserve">, NSW Legislative </w:t>
      </w:r>
      <w:r>
        <w:t>Assembly</w:t>
      </w:r>
      <w:r w:rsidRPr="006C6E40">
        <w:t xml:space="preserve">, </w:t>
      </w:r>
      <w:r>
        <w:t>11 February</w:t>
      </w:r>
      <w:r w:rsidRPr="006C6E40">
        <w:t xml:space="preserve"> 2025, p </w:t>
      </w:r>
      <w:r>
        <w:t>20</w:t>
      </w:r>
      <w:r w:rsidRPr="006C6E40">
        <w:t xml:space="preserve"> (</w:t>
      </w:r>
      <w:r>
        <w:t>Clayton Barr</w:t>
      </w:r>
      <w:r w:rsidRPr="006C6E40">
        <w:t>).</w:t>
      </w:r>
    </w:p>
  </w:footnote>
  <w:footnote w:id="158">
    <w:p w14:paraId="031355A1" w14:textId="068638A8" w:rsidR="005F52AE" w:rsidRDefault="005F52AE">
      <w:pPr>
        <w:pStyle w:val="FootnoteText"/>
      </w:pPr>
      <w:r>
        <w:rPr>
          <w:rStyle w:val="FootnoteReference"/>
        </w:rPr>
        <w:footnoteRef/>
      </w:r>
      <w:r>
        <w:t xml:space="preserve"> </w:t>
      </w:r>
      <w:r>
        <w:tab/>
        <w:t>Evidence, Professor Andrew Pitman AO, 14 March 2024, p 50.</w:t>
      </w:r>
    </w:p>
  </w:footnote>
  <w:footnote w:id="159">
    <w:p w14:paraId="7B4C58B0" w14:textId="4854238A" w:rsidR="00630655" w:rsidRDefault="00630655">
      <w:pPr>
        <w:pStyle w:val="FootnoteText"/>
      </w:pPr>
      <w:r>
        <w:rPr>
          <w:rStyle w:val="FootnoteReference"/>
        </w:rPr>
        <w:footnoteRef/>
      </w:r>
      <w:r>
        <w:t xml:space="preserve"> </w:t>
      </w:r>
      <w:r>
        <w:tab/>
      </w:r>
      <w:r w:rsidR="00FC1051">
        <w:t xml:space="preserve">Net Zero Commission (NSW), </w:t>
      </w:r>
      <w:r w:rsidR="00FC1051" w:rsidRPr="00B9789B">
        <w:rPr>
          <w:i/>
          <w:iCs/>
        </w:rPr>
        <w:t>2024 Annual Report</w:t>
      </w:r>
      <w:r w:rsidR="00FC1051">
        <w:t xml:space="preserve"> (2024), p 4</w:t>
      </w:r>
      <w:r w:rsidR="005E33C8">
        <w:t>6</w:t>
      </w:r>
      <w:r w:rsidR="001021AE">
        <w:t xml:space="preserve"> and</w:t>
      </w:r>
      <w:r w:rsidR="00FC1051">
        <w:t xml:space="preserve">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5F52AE" w14:paraId="6070D2CC" w14:textId="77777777">
      <w:tc>
        <w:tcPr>
          <w:tcW w:w="9747" w:type="dxa"/>
          <w:tcBorders>
            <w:bottom w:val="single" w:sz="4" w:space="0" w:color="auto"/>
          </w:tcBorders>
        </w:tcPr>
        <w:p w14:paraId="351ACE80" w14:textId="4F799A76" w:rsidR="00CD30CD" w:rsidRPr="005F52AE" w:rsidRDefault="0050779C">
          <w:pPr>
            <w:pStyle w:val="Header"/>
            <w:tabs>
              <w:tab w:val="clear" w:pos="4320"/>
              <w:tab w:val="clear" w:pos="8640"/>
            </w:tabs>
            <w:spacing w:after="40"/>
            <w:rPr>
              <w:caps/>
              <w:sz w:val="18"/>
            </w:rPr>
          </w:pPr>
          <w:r>
            <w:rPr>
              <w:caps/>
              <w:sz w:val="18"/>
            </w:rPr>
            <w:t>parliament of new south wales</w:t>
          </w:r>
        </w:p>
      </w:tc>
    </w:tr>
    <w:bookmarkStart w:id="39" w:name="ReportSubTitle1Header"/>
    <w:bookmarkStart w:id="40" w:name="ReportTitleHeader"/>
    <w:bookmarkEnd w:id="39"/>
    <w:bookmarkEnd w:id="40"/>
    <w:tr w:rsidR="00CD30CD" w:rsidRPr="005F52AE" w14:paraId="2226A706" w14:textId="77777777">
      <w:tc>
        <w:tcPr>
          <w:tcW w:w="9747" w:type="dxa"/>
        </w:tcPr>
        <w:p w14:paraId="6353D531" w14:textId="197534D4" w:rsidR="00CD30CD" w:rsidRPr="005F52AE" w:rsidRDefault="00321B77">
          <w:pPr>
            <w:pStyle w:val="Header"/>
            <w:spacing w:before="40"/>
            <w:rPr>
              <w:sz w:val="18"/>
            </w:rPr>
          </w:pPr>
          <w:r w:rsidRPr="005F52AE">
            <w:rPr>
              <w:sz w:val="18"/>
            </w:rPr>
            <w:fldChar w:fldCharType="begin"/>
          </w:r>
          <w:r w:rsidR="00E10447" w:rsidRPr="005F52AE">
            <w:rPr>
              <w:sz w:val="18"/>
            </w:rPr>
            <w:instrText xml:space="preserve"> DOCPROPERTY  ReportTitle  \* MERGEFORMAT </w:instrText>
          </w:r>
          <w:r w:rsidRPr="005F52AE">
            <w:rPr>
              <w:sz w:val="18"/>
            </w:rPr>
            <w:fldChar w:fldCharType="separate"/>
          </w:r>
          <w:r w:rsidR="00A358FD">
            <w:rPr>
              <w:sz w:val="18"/>
            </w:rPr>
            <w:t>2024 Annual Report of the Net Zero Commission</w:t>
          </w:r>
          <w:r w:rsidRPr="005F52AE">
            <w:rPr>
              <w:sz w:val="18"/>
            </w:rPr>
            <w:fldChar w:fldCharType="end"/>
          </w:r>
        </w:p>
      </w:tc>
    </w:tr>
  </w:tbl>
  <w:p w14:paraId="3FE24C13" w14:textId="77777777" w:rsidR="00CD30CD" w:rsidRPr="005F52AE"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5F52AE" w14:paraId="1836D6F5" w14:textId="77777777">
      <w:tc>
        <w:tcPr>
          <w:tcW w:w="9639" w:type="dxa"/>
        </w:tcPr>
        <w:p w14:paraId="31BF6FF5" w14:textId="77777777" w:rsidR="003D7E4A" w:rsidRPr="005F52AE" w:rsidRDefault="003D7E4A">
          <w:pPr>
            <w:pStyle w:val="Header"/>
            <w:tabs>
              <w:tab w:val="clear" w:pos="4320"/>
              <w:tab w:val="clear" w:pos="8640"/>
            </w:tabs>
            <w:spacing w:before="40"/>
            <w:jc w:val="right"/>
            <w:rPr>
              <w:caps/>
              <w:sz w:val="18"/>
            </w:rPr>
          </w:pPr>
        </w:p>
      </w:tc>
    </w:tr>
    <w:bookmarkStart w:id="41" w:name="CommitteeNameOdd"/>
    <w:bookmarkEnd w:id="41"/>
    <w:tr w:rsidR="003D7E4A" w:rsidRPr="005F52AE" w14:paraId="7DFCC445" w14:textId="77777777">
      <w:tc>
        <w:tcPr>
          <w:tcW w:w="9639" w:type="dxa"/>
          <w:tcBorders>
            <w:top w:val="single" w:sz="4" w:space="0" w:color="auto"/>
            <w:right w:val="single" w:sz="4" w:space="0" w:color="auto"/>
          </w:tcBorders>
        </w:tcPr>
        <w:p w14:paraId="0AE13D63" w14:textId="68DF4D23" w:rsidR="003D7E4A" w:rsidRPr="005F52AE" w:rsidRDefault="00321B77">
          <w:pPr>
            <w:pStyle w:val="Header"/>
            <w:tabs>
              <w:tab w:val="clear" w:pos="4320"/>
              <w:tab w:val="clear" w:pos="8640"/>
            </w:tabs>
            <w:spacing w:before="40"/>
            <w:jc w:val="right"/>
            <w:rPr>
              <w:caps/>
              <w:sz w:val="18"/>
            </w:rPr>
          </w:pPr>
          <w:r w:rsidRPr="005F52AE">
            <w:rPr>
              <w:caps/>
              <w:sz w:val="18"/>
            </w:rPr>
            <w:fldChar w:fldCharType="begin"/>
          </w:r>
          <w:r w:rsidR="00E10447" w:rsidRPr="005F52AE">
            <w:rPr>
              <w:caps/>
              <w:sz w:val="18"/>
            </w:rPr>
            <w:instrText xml:space="preserve"> DOCPROPERTY  CommitteeName  \* MERGEFORMAT </w:instrText>
          </w:r>
          <w:r w:rsidRPr="005F52AE">
            <w:rPr>
              <w:caps/>
              <w:sz w:val="18"/>
            </w:rPr>
            <w:fldChar w:fldCharType="separate"/>
          </w:r>
          <w:r w:rsidR="00A358FD">
            <w:rPr>
              <w:caps/>
              <w:sz w:val="18"/>
            </w:rPr>
            <w:t>Joint Standing Committee on Net Zero Future</w:t>
          </w:r>
          <w:r w:rsidRPr="005F52AE">
            <w:rPr>
              <w:caps/>
              <w:sz w:val="18"/>
            </w:rPr>
            <w:fldChar w:fldCharType="end"/>
          </w:r>
        </w:p>
      </w:tc>
    </w:tr>
  </w:tbl>
  <w:p w14:paraId="65028BF1" w14:textId="77777777" w:rsidR="003D7E4A" w:rsidRPr="005F52AE" w:rsidRDefault="003D7E4A" w:rsidP="003D7E4A">
    <w:pPr>
      <w:pStyle w:val="Header"/>
      <w:tabs>
        <w:tab w:val="clear" w:pos="4320"/>
        <w:tab w:val="clear" w:pos="8640"/>
        <w:tab w:val="center" w:pos="5529"/>
        <w:tab w:val="right" w:pos="11199"/>
      </w:tabs>
      <w:rPr>
        <w:sz w:val="2"/>
      </w:rPr>
    </w:pPr>
  </w:p>
  <w:p w14:paraId="2DBF8693" w14:textId="77777777" w:rsidR="003D7E4A" w:rsidRPr="005F52AE"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5F52AE" w14:paraId="494A001C" w14:textId="77777777">
      <w:tc>
        <w:tcPr>
          <w:tcW w:w="9747" w:type="dxa"/>
        </w:tcPr>
        <w:p w14:paraId="6FD13E25" w14:textId="57C2949D" w:rsidR="00BE487F" w:rsidRPr="005F52AE" w:rsidRDefault="009E23E4">
          <w:pPr>
            <w:pStyle w:val="Header"/>
            <w:tabs>
              <w:tab w:val="clear" w:pos="4320"/>
              <w:tab w:val="clear" w:pos="8640"/>
            </w:tabs>
            <w:spacing w:after="40"/>
            <w:rPr>
              <w:caps/>
              <w:sz w:val="18"/>
            </w:rPr>
          </w:pPr>
          <w:r>
            <w:rPr>
              <w:caps/>
              <w:sz w:val="18"/>
            </w:rPr>
            <w:t>parliament of new south wales</w:t>
          </w:r>
          <w:r w:rsidR="005F52AE">
            <w:rPr>
              <w:caps/>
              <w:sz w:val="18"/>
            </w:rPr>
            <w:t xml:space="preserve"> </w:t>
          </w:r>
        </w:p>
      </w:tc>
    </w:tr>
    <w:tr w:rsidR="00BE487F" w:rsidRPr="005F52AE" w14:paraId="26C44DE2" w14:textId="77777777">
      <w:tc>
        <w:tcPr>
          <w:tcW w:w="9747" w:type="dxa"/>
          <w:tcBorders>
            <w:top w:val="single" w:sz="4" w:space="0" w:color="auto"/>
            <w:right w:val="single" w:sz="4" w:space="0" w:color="auto"/>
          </w:tcBorders>
        </w:tcPr>
        <w:p w14:paraId="36F316F4" w14:textId="77777777" w:rsidR="00BE487F" w:rsidRPr="005F52AE" w:rsidRDefault="00BE487F">
          <w:pPr>
            <w:pStyle w:val="Header"/>
            <w:tabs>
              <w:tab w:val="clear" w:pos="4320"/>
              <w:tab w:val="clear" w:pos="8640"/>
            </w:tabs>
            <w:spacing w:before="40"/>
            <w:ind w:right="33"/>
            <w:jc w:val="right"/>
            <w:rPr>
              <w:caps/>
              <w:sz w:val="18"/>
            </w:rPr>
          </w:pPr>
          <w:bookmarkStart w:id="45" w:name="PaperNumber"/>
          <w:bookmarkEnd w:id="45"/>
        </w:p>
      </w:tc>
    </w:tr>
  </w:tbl>
  <w:p w14:paraId="53EC9644" w14:textId="77777777" w:rsidR="00BE487F" w:rsidRPr="005F52AE"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5F52AE" w14:paraId="03A0285D" w14:textId="77777777">
      <w:tc>
        <w:tcPr>
          <w:tcW w:w="9747" w:type="dxa"/>
        </w:tcPr>
        <w:p w14:paraId="021BE801" w14:textId="77777777" w:rsidR="00F23817" w:rsidRPr="005F52AE" w:rsidRDefault="00F23817">
          <w:pPr>
            <w:pStyle w:val="Header"/>
            <w:tabs>
              <w:tab w:val="clear" w:pos="4320"/>
              <w:tab w:val="clear" w:pos="8640"/>
            </w:tabs>
            <w:spacing w:after="40"/>
            <w:rPr>
              <w:caps/>
              <w:sz w:val="18"/>
            </w:rPr>
          </w:pPr>
          <w:r w:rsidRPr="005F52AE">
            <w:rPr>
              <w:caps/>
              <w:sz w:val="18"/>
            </w:rPr>
            <w:t>LEGISLATIVE COUNCIL</w:t>
          </w:r>
        </w:p>
      </w:tc>
    </w:tr>
    <w:tr w:rsidR="00F23817" w:rsidRPr="005F52AE" w14:paraId="53E1ED2A" w14:textId="77777777">
      <w:tc>
        <w:tcPr>
          <w:tcW w:w="9747" w:type="dxa"/>
          <w:tcBorders>
            <w:top w:val="single" w:sz="4" w:space="0" w:color="auto"/>
            <w:right w:val="single" w:sz="4" w:space="0" w:color="auto"/>
          </w:tcBorders>
        </w:tcPr>
        <w:p w14:paraId="32391B88" w14:textId="7D4D470D" w:rsidR="00F23817" w:rsidRPr="005F52AE" w:rsidRDefault="00A358FD">
          <w:pPr>
            <w:pStyle w:val="Header"/>
            <w:tabs>
              <w:tab w:val="clear" w:pos="4320"/>
              <w:tab w:val="clear" w:pos="8640"/>
            </w:tabs>
            <w:spacing w:before="40"/>
            <w:ind w:right="33"/>
            <w:jc w:val="right"/>
            <w:rPr>
              <w:caps/>
              <w:sz w:val="18"/>
            </w:rPr>
          </w:pPr>
          <w:fldSimple w:instr=" DOCPROPERTY  CommitteeName  \* MERGEFORMAT ">
            <w:r w:rsidRPr="00A358FD">
              <w:rPr>
                <w:caps/>
                <w:sz w:val="18"/>
              </w:rPr>
              <w:t>Joint</w:t>
            </w:r>
            <w:r>
              <w:t xml:space="preserve"> Standing Committee on Net Zero Future</w:t>
            </w:r>
          </w:fldSimple>
        </w:p>
      </w:tc>
    </w:tr>
  </w:tbl>
  <w:p w14:paraId="1D543AC4" w14:textId="77777777" w:rsidR="00F23817" w:rsidRPr="005F52AE" w:rsidRDefault="00F23817" w:rsidP="00BE487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000" w:firstRow="0" w:lastRow="0" w:firstColumn="0" w:lastColumn="0" w:noHBand="0" w:noVBand="0"/>
    </w:tblPr>
    <w:tblGrid>
      <w:gridCol w:w="9747"/>
    </w:tblGrid>
    <w:tr w:rsidR="00C60BBE" w14:paraId="516EA270" w14:textId="77777777" w:rsidTr="00766C5A">
      <w:tc>
        <w:tcPr>
          <w:tcW w:w="9747" w:type="dxa"/>
          <w:tcBorders>
            <w:bottom w:val="single" w:sz="4" w:space="0" w:color="auto"/>
          </w:tcBorders>
        </w:tcPr>
        <w:p w14:paraId="021DEF36" w14:textId="2F045EBD" w:rsidR="00C60BBE" w:rsidRDefault="00766C5A">
          <w:pPr>
            <w:pStyle w:val="Header"/>
            <w:tabs>
              <w:tab w:val="clear" w:pos="4320"/>
              <w:tab w:val="clear" w:pos="8640"/>
            </w:tabs>
            <w:spacing w:after="40"/>
            <w:rPr>
              <w:sz w:val="18"/>
            </w:rPr>
          </w:pPr>
          <w:r w:rsidRPr="00AD5CAB">
            <w:t>PARLIAMENT OF NEW SOUTH WALES</w:t>
          </w:r>
        </w:p>
      </w:tc>
    </w:tr>
    <w:tr w:rsidR="00C60BBE" w14:paraId="58427A61" w14:textId="77777777" w:rsidTr="00766C5A">
      <w:tc>
        <w:tcPr>
          <w:tcW w:w="9747" w:type="dxa"/>
        </w:tcPr>
        <w:p w14:paraId="1C5A88E5" w14:textId="597CA0AC" w:rsidR="00C60BBE" w:rsidRDefault="00766C5A">
          <w:pPr>
            <w:pStyle w:val="Header"/>
            <w:spacing w:before="40"/>
            <w:rPr>
              <w:sz w:val="18"/>
            </w:rPr>
          </w:pPr>
          <w:bookmarkStart w:id="120" w:name="ReportTitleAppx"/>
          <w:bookmarkStart w:id="121" w:name="ReportSubTitle2Appx"/>
          <w:bookmarkEnd w:id="120"/>
          <w:bookmarkEnd w:id="121"/>
          <w:r w:rsidRPr="00AD5CAB">
            <w:t>2024 Annual Report of the Net Zero Commission</w:t>
          </w:r>
        </w:p>
      </w:tc>
    </w:tr>
  </w:tbl>
  <w:p w14:paraId="095DB621" w14:textId="77777777" w:rsidR="00AC739E" w:rsidRDefault="00AC73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right w:val="single" w:sz="4" w:space="0" w:color="auto"/>
      </w:tblBorders>
      <w:tblLayout w:type="fixed"/>
      <w:tblLook w:val="0000" w:firstRow="0" w:lastRow="0" w:firstColumn="0" w:lastColumn="0" w:noHBand="0" w:noVBand="0"/>
    </w:tblPr>
    <w:tblGrid>
      <w:gridCol w:w="9639"/>
    </w:tblGrid>
    <w:tr w:rsidR="00C60BBE" w14:paraId="1821C7E8" w14:textId="77777777">
      <w:tc>
        <w:tcPr>
          <w:tcW w:w="9639" w:type="dxa"/>
          <w:tcBorders>
            <w:top w:val="nil"/>
            <w:bottom w:val="nil"/>
            <w:right w:val="nil"/>
          </w:tcBorders>
        </w:tcPr>
        <w:p w14:paraId="64DD480B" w14:textId="77777777" w:rsidR="00C60BBE" w:rsidRDefault="00C60BBE">
          <w:pPr>
            <w:pStyle w:val="Header"/>
            <w:tabs>
              <w:tab w:val="clear" w:pos="4320"/>
              <w:tab w:val="clear" w:pos="8640"/>
            </w:tabs>
            <w:spacing w:before="40"/>
            <w:ind w:right="51"/>
            <w:jc w:val="right"/>
            <w:rPr>
              <w:caps/>
              <w:sz w:val="18"/>
            </w:rPr>
          </w:pPr>
        </w:p>
      </w:tc>
    </w:tr>
    <w:bookmarkStart w:id="122" w:name="CommitteeNameAppx"/>
    <w:bookmarkEnd w:id="122"/>
    <w:tr w:rsidR="00C60BBE" w:rsidRPr="002233ED" w14:paraId="658D5B19" w14:textId="77777777">
      <w:tc>
        <w:tcPr>
          <w:tcW w:w="9639" w:type="dxa"/>
          <w:tcBorders>
            <w:top w:val="single" w:sz="4" w:space="0" w:color="auto"/>
          </w:tcBorders>
        </w:tcPr>
        <w:p w14:paraId="62FED710" w14:textId="69BAFC30" w:rsidR="00C60BBE" w:rsidRPr="002233ED" w:rsidRDefault="00C60BBE">
          <w:pPr>
            <w:pStyle w:val="Header"/>
            <w:tabs>
              <w:tab w:val="clear" w:pos="4320"/>
              <w:tab w:val="clear" w:pos="8640"/>
            </w:tabs>
            <w:spacing w:before="40"/>
            <w:ind w:right="51"/>
            <w:jc w:val="right"/>
            <w:rPr>
              <w:caps/>
              <w:sz w:val="18"/>
            </w:rPr>
          </w:pPr>
          <w:r w:rsidRPr="002233ED">
            <w:rPr>
              <w:caps/>
            </w:rPr>
            <w:fldChar w:fldCharType="begin"/>
          </w:r>
          <w:r w:rsidRPr="002233ED">
            <w:rPr>
              <w:caps/>
            </w:rPr>
            <w:instrText xml:space="preserve"> DOCPROPERTY  CommitteeName  \* MERGEFORMAT </w:instrText>
          </w:r>
          <w:r w:rsidRPr="002233ED">
            <w:rPr>
              <w:caps/>
            </w:rPr>
            <w:fldChar w:fldCharType="separate"/>
          </w:r>
          <w:r w:rsidR="00A358FD" w:rsidRPr="00A358FD">
            <w:rPr>
              <w:caps/>
              <w:lang w:val="en-US"/>
            </w:rPr>
            <w:t>Joint Standing Committee on Net Zero</w:t>
          </w:r>
          <w:r w:rsidR="00A358FD">
            <w:rPr>
              <w:caps/>
            </w:rPr>
            <w:t xml:space="preserve"> Future</w:t>
          </w:r>
          <w:r w:rsidRPr="002233ED">
            <w:rPr>
              <w:caps/>
            </w:rPr>
            <w:fldChar w:fldCharType="end"/>
          </w:r>
        </w:p>
      </w:tc>
    </w:tr>
  </w:tbl>
  <w:p w14:paraId="7AECC990" w14:textId="77777777" w:rsidR="00AC739E" w:rsidRDefault="00AC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5E15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26CB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FCE8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602E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4A7A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4069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5203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7894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4D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FE79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6D95243"/>
    <w:multiLevelType w:val="multilevel"/>
    <w:tmpl w:val="C41265A0"/>
    <w:lvl w:ilvl="0">
      <w:start w:val="1"/>
      <w:numFmt w:val="decimal"/>
      <w:suff w:val="nothing"/>
      <w:lvlText w:val="Appendix %1"/>
      <w:lvlJc w:val="left"/>
      <w:pPr>
        <w:ind w:left="360" w:hanging="360"/>
      </w:pPr>
      <w:rPr>
        <w:rFonts w:ascii="Garamond" w:hAnsi="Garamond" w:hint="default"/>
      </w:rPr>
    </w:lvl>
    <w:lvl w:ilvl="1">
      <w:start w:val="1"/>
      <w:numFmt w:val="decimal"/>
      <w:lvlText w:val="%1.%2"/>
      <w:lvlJc w:val="left"/>
      <w:pPr>
        <w:tabs>
          <w:tab w:val="num" w:pos="1134"/>
        </w:tabs>
        <w:ind w:left="1134" w:hanging="1134"/>
      </w:pPr>
      <w:rPr>
        <w:rFonts w:ascii="Garamond" w:hAnsi="Garamond" w:hint="default"/>
        <w:b/>
        <w:i w:val="0"/>
      </w:rPr>
    </w:lvl>
    <w:lvl w:ilvl="2">
      <w:start w:val="1"/>
      <w:numFmt w:val="decimal"/>
      <w:lvlText w:val="%1.%2.%3."/>
      <w:lvlJc w:val="left"/>
      <w:pPr>
        <w:tabs>
          <w:tab w:val="num" w:pos="2160"/>
        </w:tabs>
        <w:ind w:left="1224" w:hanging="504"/>
      </w:pPr>
      <w:rPr>
        <w:rFonts w:ascii="Garamond" w:hAnsi="Garamond"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15"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8F746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3612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4D7A48"/>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17A7C2F"/>
    <w:multiLevelType w:val="hybridMultilevel"/>
    <w:tmpl w:val="D95C1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267C2"/>
    <w:multiLevelType w:val="hybridMultilevel"/>
    <w:tmpl w:val="30FE05DA"/>
    <w:lvl w:ilvl="0" w:tplc="EF6454F2">
      <w:start w:val="1"/>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27"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F70E02"/>
    <w:multiLevelType w:val="hybridMultilevel"/>
    <w:tmpl w:val="1BA29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D980CC9"/>
    <w:multiLevelType w:val="multilevel"/>
    <w:tmpl w:val="60D428E6"/>
    <w:lvl w:ilvl="0">
      <w:start w:val="1"/>
      <w:numFmt w:val="decimal"/>
      <w:pStyle w:val="Heading1"/>
      <w:lvlText w:val="Chapter %1"/>
      <w:lvlJc w:val="left"/>
      <w:pPr>
        <w:tabs>
          <w:tab w:val="num" w:pos="2268"/>
        </w:tabs>
        <w:ind w:left="2268" w:hanging="2268"/>
      </w:pPr>
    </w:lvl>
    <w:lvl w:ilvl="1">
      <w:start w:val="1"/>
      <w:numFmt w:val="decimal"/>
      <w:pStyle w:val="ChapterBody"/>
      <w:lvlText w:val="%1.%2"/>
      <w:lvlJc w:val="left"/>
      <w:pPr>
        <w:tabs>
          <w:tab w:val="num" w:pos="993"/>
        </w:tabs>
        <w:ind w:left="993"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5992320">
    <w:abstractNumId w:val="21"/>
  </w:num>
  <w:num w:numId="2" w16cid:durableId="1039085940">
    <w:abstractNumId w:val="14"/>
  </w:num>
  <w:num w:numId="3" w16cid:durableId="384565642">
    <w:abstractNumId w:val="15"/>
  </w:num>
  <w:num w:numId="4" w16cid:durableId="1104111739">
    <w:abstractNumId w:val="10"/>
  </w:num>
  <w:num w:numId="5" w16cid:durableId="1518494669">
    <w:abstractNumId w:val="32"/>
  </w:num>
  <w:num w:numId="6" w16cid:durableId="1318458818">
    <w:abstractNumId w:val="22"/>
  </w:num>
  <w:num w:numId="7" w16cid:durableId="423454367">
    <w:abstractNumId w:val="22"/>
  </w:num>
  <w:num w:numId="8" w16cid:durableId="1308126671">
    <w:abstractNumId w:val="22"/>
  </w:num>
  <w:num w:numId="9" w16cid:durableId="2135323465">
    <w:abstractNumId w:val="15"/>
  </w:num>
  <w:num w:numId="10" w16cid:durableId="669599684">
    <w:abstractNumId w:val="27"/>
  </w:num>
  <w:num w:numId="11" w16cid:durableId="215746596">
    <w:abstractNumId w:val="16"/>
  </w:num>
  <w:num w:numId="12" w16cid:durableId="768619077">
    <w:abstractNumId w:val="10"/>
  </w:num>
  <w:num w:numId="13" w16cid:durableId="396243833">
    <w:abstractNumId w:val="24"/>
  </w:num>
  <w:num w:numId="14" w16cid:durableId="154149315">
    <w:abstractNumId w:val="33"/>
  </w:num>
  <w:num w:numId="15" w16cid:durableId="1237595281">
    <w:abstractNumId w:val="32"/>
  </w:num>
  <w:num w:numId="16" w16cid:durableId="1288244971">
    <w:abstractNumId w:val="19"/>
  </w:num>
  <w:num w:numId="17" w16cid:durableId="423645209">
    <w:abstractNumId w:val="13"/>
  </w:num>
  <w:num w:numId="18" w16cid:durableId="961765738">
    <w:abstractNumId w:val="29"/>
  </w:num>
  <w:num w:numId="19" w16cid:durableId="943539835">
    <w:abstractNumId w:val="20"/>
  </w:num>
  <w:num w:numId="20" w16cid:durableId="1800300468">
    <w:abstractNumId w:val="30"/>
  </w:num>
  <w:num w:numId="21" w16cid:durableId="1730567222">
    <w:abstractNumId w:val="11"/>
  </w:num>
  <w:num w:numId="22" w16cid:durableId="540483662">
    <w:abstractNumId w:val="31"/>
  </w:num>
  <w:num w:numId="23" w16cid:durableId="247078440">
    <w:abstractNumId w:val="18"/>
  </w:num>
  <w:num w:numId="24" w16cid:durableId="14618947">
    <w:abstractNumId w:val="28"/>
  </w:num>
  <w:num w:numId="25" w16cid:durableId="122846965">
    <w:abstractNumId w:val="25"/>
  </w:num>
  <w:num w:numId="26" w16cid:durableId="1674338170">
    <w:abstractNumId w:val="9"/>
  </w:num>
  <w:num w:numId="27" w16cid:durableId="1384870710">
    <w:abstractNumId w:val="7"/>
  </w:num>
  <w:num w:numId="28" w16cid:durableId="1783570823">
    <w:abstractNumId w:val="6"/>
  </w:num>
  <w:num w:numId="29" w16cid:durableId="487786423">
    <w:abstractNumId w:val="5"/>
  </w:num>
  <w:num w:numId="30" w16cid:durableId="1261330744">
    <w:abstractNumId w:val="4"/>
  </w:num>
  <w:num w:numId="31" w16cid:durableId="1788741156">
    <w:abstractNumId w:val="8"/>
  </w:num>
  <w:num w:numId="32" w16cid:durableId="936138862">
    <w:abstractNumId w:val="3"/>
  </w:num>
  <w:num w:numId="33" w16cid:durableId="1719435006">
    <w:abstractNumId w:val="2"/>
  </w:num>
  <w:num w:numId="34" w16cid:durableId="1374228132">
    <w:abstractNumId w:val="1"/>
  </w:num>
  <w:num w:numId="35" w16cid:durableId="2030251966">
    <w:abstractNumId w:val="0"/>
  </w:num>
  <w:num w:numId="36" w16cid:durableId="300037367">
    <w:abstractNumId w:val="12"/>
  </w:num>
  <w:num w:numId="37" w16cid:durableId="295917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002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3999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4809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38147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4886735">
    <w:abstractNumId w:val="26"/>
  </w:num>
  <w:num w:numId="43" w16cid:durableId="1201212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777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AE"/>
    <w:rsid w:val="00002F6E"/>
    <w:rsid w:val="00005ECE"/>
    <w:rsid w:val="00010DDA"/>
    <w:rsid w:val="0001422D"/>
    <w:rsid w:val="00014948"/>
    <w:rsid w:val="00016A22"/>
    <w:rsid w:val="00023081"/>
    <w:rsid w:val="00024031"/>
    <w:rsid w:val="00025855"/>
    <w:rsid w:val="00030516"/>
    <w:rsid w:val="0003301C"/>
    <w:rsid w:val="000440D4"/>
    <w:rsid w:val="000449BE"/>
    <w:rsid w:val="00045E1D"/>
    <w:rsid w:val="00046A6F"/>
    <w:rsid w:val="000507F0"/>
    <w:rsid w:val="00050A11"/>
    <w:rsid w:val="00051395"/>
    <w:rsid w:val="00054007"/>
    <w:rsid w:val="0005507F"/>
    <w:rsid w:val="000575E4"/>
    <w:rsid w:val="000618AE"/>
    <w:rsid w:val="000628B6"/>
    <w:rsid w:val="00067788"/>
    <w:rsid w:val="00067EFE"/>
    <w:rsid w:val="0007278C"/>
    <w:rsid w:val="000769E3"/>
    <w:rsid w:val="00084EED"/>
    <w:rsid w:val="0008721B"/>
    <w:rsid w:val="0009647F"/>
    <w:rsid w:val="000A080C"/>
    <w:rsid w:val="000A43D2"/>
    <w:rsid w:val="000A5EE6"/>
    <w:rsid w:val="000B3BDD"/>
    <w:rsid w:val="000B3E7A"/>
    <w:rsid w:val="000B5AB9"/>
    <w:rsid w:val="000C1522"/>
    <w:rsid w:val="000C72D8"/>
    <w:rsid w:val="000D5B07"/>
    <w:rsid w:val="000D7661"/>
    <w:rsid w:val="000E08BC"/>
    <w:rsid w:val="000E107B"/>
    <w:rsid w:val="000E4C07"/>
    <w:rsid w:val="00101844"/>
    <w:rsid w:val="001021AE"/>
    <w:rsid w:val="00103F88"/>
    <w:rsid w:val="00116B73"/>
    <w:rsid w:val="00117B22"/>
    <w:rsid w:val="001271E0"/>
    <w:rsid w:val="00132417"/>
    <w:rsid w:val="001337E6"/>
    <w:rsid w:val="00144571"/>
    <w:rsid w:val="00147FF9"/>
    <w:rsid w:val="00151E07"/>
    <w:rsid w:val="00151EC0"/>
    <w:rsid w:val="00153F69"/>
    <w:rsid w:val="00161CBA"/>
    <w:rsid w:val="00164831"/>
    <w:rsid w:val="0017225E"/>
    <w:rsid w:val="0017228B"/>
    <w:rsid w:val="0017536E"/>
    <w:rsid w:val="00176169"/>
    <w:rsid w:val="00177130"/>
    <w:rsid w:val="0017757A"/>
    <w:rsid w:val="00182648"/>
    <w:rsid w:val="00183256"/>
    <w:rsid w:val="001834B0"/>
    <w:rsid w:val="001835A8"/>
    <w:rsid w:val="00191CFB"/>
    <w:rsid w:val="0019294A"/>
    <w:rsid w:val="0019448B"/>
    <w:rsid w:val="00194BC6"/>
    <w:rsid w:val="00195412"/>
    <w:rsid w:val="00196D0F"/>
    <w:rsid w:val="001A12ED"/>
    <w:rsid w:val="001A1350"/>
    <w:rsid w:val="001A2F97"/>
    <w:rsid w:val="001A5398"/>
    <w:rsid w:val="001A572B"/>
    <w:rsid w:val="001A751E"/>
    <w:rsid w:val="001B0584"/>
    <w:rsid w:val="001B3E3C"/>
    <w:rsid w:val="001B7CA7"/>
    <w:rsid w:val="001C2ED9"/>
    <w:rsid w:val="001C30AC"/>
    <w:rsid w:val="001D0397"/>
    <w:rsid w:val="001D3D01"/>
    <w:rsid w:val="001D4520"/>
    <w:rsid w:val="001D6CCB"/>
    <w:rsid w:val="001E21C4"/>
    <w:rsid w:val="002017E2"/>
    <w:rsid w:val="0021308B"/>
    <w:rsid w:val="002234B7"/>
    <w:rsid w:val="00224B0C"/>
    <w:rsid w:val="00231DB5"/>
    <w:rsid w:val="00236AB6"/>
    <w:rsid w:val="002404E6"/>
    <w:rsid w:val="00241DA7"/>
    <w:rsid w:val="00242C58"/>
    <w:rsid w:val="00247D08"/>
    <w:rsid w:val="00255AE6"/>
    <w:rsid w:val="00255B93"/>
    <w:rsid w:val="0025715F"/>
    <w:rsid w:val="00260112"/>
    <w:rsid w:val="00261954"/>
    <w:rsid w:val="00263C25"/>
    <w:rsid w:val="00265E17"/>
    <w:rsid w:val="00267477"/>
    <w:rsid w:val="00270796"/>
    <w:rsid w:val="00273E31"/>
    <w:rsid w:val="00276B01"/>
    <w:rsid w:val="00282249"/>
    <w:rsid w:val="00285E45"/>
    <w:rsid w:val="0028628C"/>
    <w:rsid w:val="00293333"/>
    <w:rsid w:val="00294EE2"/>
    <w:rsid w:val="0029594A"/>
    <w:rsid w:val="002A0A23"/>
    <w:rsid w:val="002A4E93"/>
    <w:rsid w:val="002B0788"/>
    <w:rsid w:val="002B2B4A"/>
    <w:rsid w:val="002B49F5"/>
    <w:rsid w:val="002C0671"/>
    <w:rsid w:val="002C267F"/>
    <w:rsid w:val="002C68B5"/>
    <w:rsid w:val="002C7D53"/>
    <w:rsid w:val="002D5611"/>
    <w:rsid w:val="002D6FBC"/>
    <w:rsid w:val="002E1952"/>
    <w:rsid w:val="002E308A"/>
    <w:rsid w:val="002E5814"/>
    <w:rsid w:val="002E5EE3"/>
    <w:rsid w:val="002E79FB"/>
    <w:rsid w:val="002F1FEF"/>
    <w:rsid w:val="002F26EF"/>
    <w:rsid w:val="00301AA8"/>
    <w:rsid w:val="003036A4"/>
    <w:rsid w:val="00304F3C"/>
    <w:rsid w:val="0031042E"/>
    <w:rsid w:val="00311752"/>
    <w:rsid w:val="00314D92"/>
    <w:rsid w:val="00314F94"/>
    <w:rsid w:val="003177D0"/>
    <w:rsid w:val="00321924"/>
    <w:rsid w:val="00321B77"/>
    <w:rsid w:val="00322BB7"/>
    <w:rsid w:val="00324422"/>
    <w:rsid w:val="00330C5B"/>
    <w:rsid w:val="00332E54"/>
    <w:rsid w:val="00333AD4"/>
    <w:rsid w:val="00335294"/>
    <w:rsid w:val="003401F4"/>
    <w:rsid w:val="003421CA"/>
    <w:rsid w:val="003459D2"/>
    <w:rsid w:val="00346FC0"/>
    <w:rsid w:val="003638A6"/>
    <w:rsid w:val="00372934"/>
    <w:rsid w:val="0037612F"/>
    <w:rsid w:val="00380784"/>
    <w:rsid w:val="00382FFF"/>
    <w:rsid w:val="00386D74"/>
    <w:rsid w:val="00392EC1"/>
    <w:rsid w:val="00393BB1"/>
    <w:rsid w:val="003945CD"/>
    <w:rsid w:val="00395098"/>
    <w:rsid w:val="00396E0A"/>
    <w:rsid w:val="00397AF1"/>
    <w:rsid w:val="003A1F2A"/>
    <w:rsid w:val="003B120C"/>
    <w:rsid w:val="003B2570"/>
    <w:rsid w:val="003B590A"/>
    <w:rsid w:val="003C186F"/>
    <w:rsid w:val="003C39F5"/>
    <w:rsid w:val="003C3FE2"/>
    <w:rsid w:val="003C59D9"/>
    <w:rsid w:val="003C6E67"/>
    <w:rsid w:val="003C763E"/>
    <w:rsid w:val="003D0C40"/>
    <w:rsid w:val="003D1A18"/>
    <w:rsid w:val="003D2093"/>
    <w:rsid w:val="003D7955"/>
    <w:rsid w:val="003D7E4A"/>
    <w:rsid w:val="003E00E7"/>
    <w:rsid w:val="003E09A7"/>
    <w:rsid w:val="003F656D"/>
    <w:rsid w:val="003F6E26"/>
    <w:rsid w:val="003F78B1"/>
    <w:rsid w:val="00401BB3"/>
    <w:rsid w:val="00403094"/>
    <w:rsid w:val="00405814"/>
    <w:rsid w:val="00406F2A"/>
    <w:rsid w:val="00407FE8"/>
    <w:rsid w:val="004124CC"/>
    <w:rsid w:val="00412EBB"/>
    <w:rsid w:val="00414F60"/>
    <w:rsid w:val="00415284"/>
    <w:rsid w:val="00416F1C"/>
    <w:rsid w:val="00417CD5"/>
    <w:rsid w:val="00420B36"/>
    <w:rsid w:val="00427E37"/>
    <w:rsid w:val="004316B3"/>
    <w:rsid w:val="00435420"/>
    <w:rsid w:val="004356ED"/>
    <w:rsid w:val="00442F9B"/>
    <w:rsid w:val="004443AA"/>
    <w:rsid w:val="00452A24"/>
    <w:rsid w:val="004540E9"/>
    <w:rsid w:val="0045748B"/>
    <w:rsid w:val="00457567"/>
    <w:rsid w:val="00465967"/>
    <w:rsid w:val="00466F70"/>
    <w:rsid w:val="004701C1"/>
    <w:rsid w:val="00473A9E"/>
    <w:rsid w:val="00476E37"/>
    <w:rsid w:val="004802EE"/>
    <w:rsid w:val="0048106D"/>
    <w:rsid w:val="0048560A"/>
    <w:rsid w:val="004A36F5"/>
    <w:rsid w:val="004A4406"/>
    <w:rsid w:val="004A6027"/>
    <w:rsid w:val="004A6E5D"/>
    <w:rsid w:val="004B520B"/>
    <w:rsid w:val="004B5DD8"/>
    <w:rsid w:val="004B6BBB"/>
    <w:rsid w:val="004C0AB0"/>
    <w:rsid w:val="004C3F7D"/>
    <w:rsid w:val="004C7C31"/>
    <w:rsid w:val="004D5FE8"/>
    <w:rsid w:val="004E3946"/>
    <w:rsid w:val="004E545F"/>
    <w:rsid w:val="004E72D9"/>
    <w:rsid w:val="004F14D3"/>
    <w:rsid w:val="00500DEC"/>
    <w:rsid w:val="005016F2"/>
    <w:rsid w:val="00501AEF"/>
    <w:rsid w:val="0050250A"/>
    <w:rsid w:val="0050257C"/>
    <w:rsid w:val="005071A6"/>
    <w:rsid w:val="0050779C"/>
    <w:rsid w:val="005108B2"/>
    <w:rsid w:val="00511CDD"/>
    <w:rsid w:val="005161F7"/>
    <w:rsid w:val="00520E23"/>
    <w:rsid w:val="0052609E"/>
    <w:rsid w:val="005267BB"/>
    <w:rsid w:val="005269BE"/>
    <w:rsid w:val="0053108D"/>
    <w:rsid w:val="00534DB6"/>
    <w:rsid w:val="005378EA"/>
    <w:rsid w:val="00543152"/>
    <w:rsid w:val="0054332A"/>
    <w:rsid w:val="0054425E"/>
    <w:rsid w:val="005451F5"/>
    <w:rsid w:val="005457BD"/>
    <w:rsid w:val="00547FDC"/>
    <w:rsid w:val="00550E35"/>
    <w:rsid w:val="00550E83"/>
    <w:rsid w:val="00551DC5"/>
    <w:rsid w:val="00564BE9"/>
    <w:rsid w:val="00572041"/>
    <w:rsid w:val="0057521F"/>
    <w:rsid w:val="00587530"/>
    <w:rsid w:val="005907C8"/>
    <w:rsid w:val="00592352"/>
    <w:rsid w:val="005A1CE9"/>
    <w:rsid w:val="005B29B9"/>
    <w:rsid w:val="005B3149"/>
    <w:rsid w:val="005C157C"/>
    <w:rsid w:val="005C19B1"/>
    <w:rsid w:val="005C6431"/>
    <w:rsid w:val="005D22E9"/>
    <w:rsid w:val="005D4C25"/>
    <w:rsid w:val="005D4C57"/>
    <w:rsid w:val="005E33C8"/>
    <w:rsid w:val="005E3D5D"/>
    <w:rsid w:val="005E7F1E"/>
    <w:rsid w:val="005F42DD"/>
    <w:rsid w:val="005F4ECC"/>
    <w:rsid w:val="005F52AE"/>
    <w:rsid w:val="005F558B"/>
    <w:rsid w:val="006013CA"/>
    <w:rsid w:val="006046CC"/>
    <w:rsid w:val="006100E5"/>
    <w:rsid w:val="00611732"/>
    <w:rsid w:val="00612C0D"/>
    <w:rsid w:val="006219C6"/>
    <w:rsid w:val="00630655"/>
    <w:rsid w:val="0063246E"/>
    <w:rsid w:val="0064111A"/>
    <w:rsid w:val="00644CD2"/>
    <w:rsid w:val="0064755C"/>
    <w:rsid w:val="00655364"/>
    <w:rsid w:val="00663885"/>
    <w:rsid w:val="00664915"/>
    <w:rsid w:val="00665381"/>
    <w:rsid w:val="0066553F"/>
    <w:rsid w:val="00665D0B"/>
    <w:rsid w:val="00670EE9"/>
    <w:rsid w:val="00672C1D"/>
    <w:rsid w:val="00680E9C"/>
    <w:rsid w:val="006833A7"/>
    <w:rsid w:val="006858B3"/>
    <w:rsid w:val="00685DC2"/>
    <w:rsid w:val="00697EC5"/>
    <w:rsid w:val="006A1CA8"/>
    <w:rsid w:val="006B027C"/>
    <w:rsid w:val="006B3314"/>
    <w:rsid w:val="006C1BC2"/>
    <w:rsid w:val="006C5342"/>
    <w:rsid w:val="006D3F5C"/>
    <w:rsid w:val="006D4B05"/>
    <w:rsid w:val="006E0A31"/>
    <w:rsid w:val="006E2E70"/>
    <w:rsid w:val="006E6675"/>
    <w:rsid w:val="006F62D7"/>
    <w:rsid w:val="00700F69"/>
    <w:rsid w:val="00704550"/>
    <w:rsid w:val="00712D77"/>
    <w:rsid w:val="00713965"/>
    <w:rsid w:val="00715212"/>
    <w:rsid w:val="007216B6"/>
    <w:rsid w:val="007232F6"/>
    <w:rsid w:val="007235AE"/>
    <w:rsid w:val="00724088"/>
    <w:rsid w:val="00737569"/>
    <w:rsid w:val="00742FF1"/>
    <w:rsid w:val="00751547"/>
    <w:rsid w:val="0075393F"/>
    <w:rsid w:val="00755D2E"/>
    <w:rsid w:val="0075712B"/>
    <w:rsid w:val="00762992"/>
    <w:rsid w:val="00766C5A"/>
    <w:rsid w:val="00766F5F"/>
    <w:rsid w:val="00766F68"/>
    <w:rsid w:val="00771134"/>
    <w:rsid w:val="007732A4"/>
    <w:rsid w:val="007771DA"/>
    <w:rsid w:val="0078148A"/>
    <w:rsid w:val="00781F98"/>
    <w:rsid w:val="00796E9C"/>
    <w:rsid w:val="007A12E9"/>
    <w:rsid w:val="007A3A09"/>
    <w:rsid w:val="007A3FD7"/>
    <w:rsid w:val="007A543C"/>
    <w:rsid w:val="007A6656"/>
    <w:rsid w:val="007A71DE"/>
    <w:rsid w:val="007B2528"/>
    <w:rsid w:val="007B28EC"/>
    <w:rsid w:val="007B4FDB"/>
    <w:rsid w:val="007B6146"/>
    <w:rsid w:val="007B7195"/>
    <w:rsid w:val="007C0083"/>
    <w:rsid w:val="007C521B"/>
    <w:rsid w:val="007C5852"/>
    <w:rsid w:val="007D1E9C"/>
    <w:rsid w:val="007D6311"/>
    <w:rsid w:val="007E2926"/>
    <w:rsid w:val="007F49E4"/>
    <w:rsid w:val="007F549D"/>
    <w:rsid w:val="007F5564"/>
    <w:rsid w:val="007F63E4"/>
    <w:rsid w:val="00804CC6"/>
    <w:rsid w:val="00811515"/>
    <w:rsid w:val="00811601"/>
    <w:rsid w:val="008135B0"/>
    <w:rsid w:val="00814F8C"/>
    <w:rsid w:val="0082048C"/>
    <w:rsid w:val="00822240"/>
    <w:rsid w:val="008236C4"/>
    <w:rsid w:val="008249A7"/>
    <w:rsid w:val="00826AD1"/>
    <w:rsid w:val="00831399"/>
    <w:rsid w:val="008329E5"/>
    <w:rsid w:val="008358E0"/>
    <w:rsid w:val="00844A01"/>
    <w:rsid w:val="00847A69"/>
    <w:rsid w:val="00850C6D"/>
    <w:rsid w:val="008513B8"/>
    <w:rsid w:val="008534F5"/>
    <w:rsid w:val="00855F2E"/>
    <w:rsid w:val="008563AB"/>
    <w:rsid w:val="00857E9C"/>
    <w:rsid w:val="0086329E"/>
    <w:rsid w:val="008638C5"/>
    <w:rsid w:val="00867C9A"/>
    <w:rsid w:val="00875C31"/>
    <w:rsid w:val="00885F16"/>
    <w:rsid w:val="00887291"/>
    <w:rsid w:val="00891AA2"/>
    <w:rsid w:val="00893377"/>
    <w:rsid w:val="00896B2C"/>
    <w:rsid w:val="008A0EA5"/>
    <w:rsid w:val="008A77F5"/>
    <w:rsid w:val="008C444E"/>
    <w:rsid w:val="008C4565"/>
    <w:rsid w:val="008D0ADA"/>
    <w:rsid w:val="008D4E0F"/>
    <w:rsid w:val="008E23D7"/>
    <w:rsid w:val="008E277B"/>
    <w:rsid w:val="008E3112"/>
    <w:rsid w:val="008E3569"/>
    <w:rsid w:val="008E4F6C"/>
    <w:rsid w:val="008E587E"/>
    <w:rsid w:val="008E7927"/>
    <w:rsid w:val="008F2740"/>
    <w:rsid w:val="008F4735"/>
    <w:rsid w:val="00900F38"/>
    <w:rsid w:val="00901EDE"/>
    <w:rsid w:val="00910439"/>
    <w:rsid w:val="00913542"/>
    <w:rsid w:val="00917C5E"/>
    <w:rsid w:val="00920A78"/>
    <w:rsid w:val="00923F9F"/>
    <w:rsid w:val="00926824"/>
    <w:rsid w:val="009355C1"/>
    <w:rsid w:val="00936075"/>
    <w:rsid w:val="00943EB9"/>
    <w:rsid w:val="00945591"/>
    <w:rsid w:val="00946E99"/>
    <w:rsid w:val="0095016F"/>
    <w:rsid w:val="0095557B"/>
    <w:rsid w:val="00961D3C"/>
    <w:rsid w:val="00965B26"/>
    <w:rsid w:val="00972020"/>
    <w:rsid w:val="009A6673"/>
    <w:rsid w:val="009B0C3D"/>
    <w:rsid w:val="009B3B1D"/>
    <w:rsid w:val="009B3D03"/>
    <w:rsid w:val="009B5482"/>
    <w:rsid w:val="009B64BB"/>
    <w:rsid w:val="009B684C"/>
    <w:rsid w:val="009C0180"/>
    <w:rsid w:val="009D0515"/>
    <w:rsid w:val="009D397E"/>
    <w:rsid w:val="009E23E4"/>
    <w:rsid w:val="009E5F58"/>
    <w:rsid w:val="009E7D6E"/>
    <w:rsid w:val="009F4C2B"/>
    <w:rsid w:val="009F5F0F"/>
    <w:rsid w:val="00A02C20"/>
    <w:rsid w:val="00A07E2C"/>
    <w:rsid w:val="00A11BDC"/>
    <w:rsid w:val="00A12D1F"/>
    <w:rsid w:val="00A22557"/>
    <w:rsid w:val="00A23573"/>
    <w:rsid w:val="00A239B3"/>
    <w:rsid w:val="00A25A16"/>
    <w:rsid w:val="00A32606"/>
    <w:rsid w:val="00A358FD"/>
    <w:rsid w:val="00A40EF3"/>
    <w:rsid w:val="00A42FD6"/>
    <w:rsid w:val="00A43BB0"/>
    <w:rsid w:val="00A43CB9"/>
    <w:rsid w:val="00A43F2A"/>
    <w:rsid w:val="00A502CA"/>
    <w:rsid w:val="00A55C3D"/>
    <w:rsid w:val="00A56136"/>
    <w:rsid w:val="00A573E4"/>
    <w:rsid w:val="00A60B46"/>
    <w:rsid w:val="00A73790"/>
    <w:rsid w:val="00A745AF"/>
    <w:rsid w:val="00A87CA3"/>
    <w:rsid w:val="00A91A4E"/>
    <w:rsid w:val="00A9445F"/>
    <w:rsid w:val="00A96F71"/>
    <w:rsid w:val="00AA0725"/>
    <w:rsid w:val="00AA0A02"/>
    <w:rsid w:val="00AA2333"/>
    <w:rsid w:val="00AA6FE1"/>
    <w:rsid w:val="00AB0B3A"/>
    <w:rsid w:val="00AB0EBA"/>
    <w:rsid w:val="00AB3A69"/>
    <w:rsid w:val="00AB5A03"/>
    <w:rsid w:val="00AC652D"/>
    <w:rsid w:val="00AC739E"/>
    <w:rsid w:val="00AD06D1"/>
    <w:rsid w:val="00AD097D"/>
    <w:rsid w:val="00AD3B32"/>
    <w:rsid w:val="00AD48C4"/>
    <w:rsid w:val="00AD4CAB"/>
    <w:rsid w:val="00AD615D"/>
    <w:rsid w:val="00AF2C91"/>
    <w:rsid w:val="00AF3142"/>
    <w:rsid w:val="00AF3C0E"/>
    <w:rsid w:val="00AF54E8"/>
    <w:rsid w:val="00AF5AA6"/>
    <w:rsid w:val="00B04DA1"/>
    <w:rsid w:val="00B10B0F"/>
    <w:rsid w:val="00B138EF"/>
    <w:rsid w:val="00B14207"/>
    <w:rsid w:val="00B15E21"/>
    <w:rsid w:val="00B30D40"/>
    <w:rsid w:val="00B34F91"/>
    <w:rsid w:val="00B36A30"/>
    <w:rsid w:val="00B45F67"/>
    <w:rsid w:val="00B51592"/>
    <w:rsid w:val="00B52484"/>
    <w:rsid w:val="00B55303"/>
    <w:rsid w:val="00B56D73"/>
    <w:rsid w:val="00B60504"/>
    <w:rsid w:val="00B60781"/>
    <w:rsid w:val="00B613C2"/>
    <w:rsid w:val="00B622FB"/>
    <w:rsid w:val="00B6313B"/>
    <w:rsid w:val="00B67F65"/>
    <w:rsid w:val="00B72F72"/>
    <w:rsid w:val="00B73BB6"/>
    <w:rsid w:val="00B84126"/>
    <w:rsid w:val="00B90A25"/>
    <w:rsid w:val="00BA02F0"/>
    <w:rsid w:val="00BB29CD"/>
    <w:rsid w:val="00BB388A"/>
    <w:rsid w:val="00BB48FF"/>
    <w:rsid w:val="00BB55B1"/>
    <w:rsid w:val="00BC1FAA"/>
    <w:rsid w:val="00BD2440"/>
    <w:rsid w:val="00BD64A6"/>
    <w:rsid w:val="00BD7DA4"/>
    <w:rsid w:val="00BE487F"/>
    <w:rsid w:val="00BF2323"/>
    <w:rsid w:val="00BF4323"/>
    <w:rsid w:val="00BF7C40"/>
    <w:rsid w:val="00C07623"/>
    <w:rsid w:val="00C11819"/>
    <w:rsid w:val="00C146B0"/>
    <w:rsid w:val="00C22044"/>
    <w:rsid w:val="00C254A5"/>
    <w:rsid w:val="00C327DD"/>
    <w:rsid w:val="00C3496E"/>
    <w:rsid w:val="00C36E19"/>
    <w:rsid w:val="00C3774F"/>
    <w:rsid w:val="00C45102"/>
    <w:rsid w:val="00C50965"/>
    <w:rsid w:val="00C51971"/>
    <w:rsid w:val="00C56205"/>
    <w:rsid w:val="00C56F81"/>
    <w:rsid w:val="00C60207"/>
    <w:rsid w:val="00C60BBE"/>
    <w:rsid w:val="00C62243"/>
    <w:rsid w:val="00C65066"/>
    <w:rsid w:val="00C656A2"/>
    <w:rsid w:val="00C71C86"/>
    <w:rsid w:val="00C73D8E"/>
    <w:rsid w:val="00C74C50"/>
    <w:rsid w:val="00C7621E"/>
    <w:rsid w:val="00C81500"/>
    <w:rsid w:val="00C81DD8"/>
    <w:rsid w:val="00C84F50"/>
    <w:rsid w:val="00CA030D"/>
    <w:rsid w:val="00CA3462"/>
    <w:rsid w:val="00CA3608"/>
    <w:rsid w:val="00CB051D"/>
    <w:rsid w:val="00CB1881"/>
    <w:rsid w:val="00CB1D4E"/>
    <w:rsid w:val="00CB5971"/>
    <w:rsid w:val="00CC4D94"/>
    <w:rsid w:val="00CC690C"/>
    <w:rsid w:val="00CD30CD"/>
    <w:rsid w:val="00CD62A4"/>
    <w:rsid w:val="00CE1286"/>
    <w:rsid w:val="00CE3417"/>
    <w:rsid w:val="00CE3CF1"/>
    <w:rsid w:val="00CE4701"/>
    <w:rsid w:val="00CE7B61"/>
    <w:rsid w:val="00CF1047"/>
    <w:rsid w:val="00D00846"/>
    <w:rsid w:val="00D00BF2"/>
    <w:rsid w:val="00D0367D"/>
    <w:rsid w:val="00D05550"/>
    <w:rsid w:val="00D055DB"/>
    <w:rsid w:val="00D05B84"/>
    <w:rsid w:val="00D062B7"/>
    <w:rsid w:val="00D240F2"/>
    <w:rsid w:val="00D24540"/>
    <w:rsid w:val="00D313A8"/>
    <w:rsid w:val="00D36D98"/>
    <w:rsid w:val="00D40545"/>
    <w:rsid w:val="00D40689"/>
    <w:rsid w:val="00D41235"/>
    <w:rsid w:val="00D43036"/>
    <w:rsid w:val="00D46434"/>
    <w:rsid w:val="00D527AE"/>
    <w:rsid w:val="00D63453"/>
    <w:rsid w:val="00D636C7"/>
    <w:rsid w:val="00D64ACF"/>
    <w:rsid w:val="00D6610B"/>
    <w:rsid w:val="00D6648A"/>
    <w:rsid w:val="00D6759C"/>
    <w:rsid w:val="00D71B8E"/>
    <w:rsid w:val="00D7476D"/>
    <w:rsid w:val="00D77E9A"/>
    <w:rsid w:val="00D80B08"/>
    <w:rsid w:val="00D82037"/>
    <w:rsid w:val="00D85492"/>
    <w:rsid w:val="00D85F33"/>
    <w:rsid w:val="00D87854"/>
    <w:rsid w:val="00D93D57"/>
    <w:rsid w:val="00DA0188"/>
    <w:rsid w:val="00DA12DE"/>
    <w:rsid w:val="00DA6478"/>
    <w:rsid w:val="00DB0906"/>
    <w:rsid w:val="00DB14BF"/>
    <w:rsid w:val="00DB67AC"/>
    <w:rsid w:val="00DB70C2"/>
    <w:rsid w:val="00DC327B"/>
    <w:rsid w:val="00DC3CB1"/>
    <w:rsid w:val="00DD178B"/>
    <w:rsid w:val="00DD1A9B"/>
    <w:rsid w:val="00DE089D"/>
    <w:rsid w:val="00DE1AAA"/>
    <w:rsid w:val="00DE4911"/>
    <w:rsid w:val="00DE7D6B"/>
    <w:rsid w:val="00DF2C9A"/>
    <w:rsid w:val="00DF49B1"/>
    <w:rsid w:val="00DF536E"/>
    <w:rsid w:val="00DF6C1E"/>
    <w:rsid w:val="00E01795"/>
    <w:rsid w:val="00E05C9D"/>
    <w:rsid w:val="00E07187"/>
    <w:rsid w:val="00E0786E"/>
    <w:rsid w:val="00E10447"/>
    <w:rsid w:val="00E10B58"/>
    <w:rsid w:val="00E12671"/>
    <w:rsid w:val="00E129EE"/>
    <w:rsid w:val="00E159B4"/>
    <w:rsid w:val="00E167F8"/>
    <w:rsid w:val="00E16BA8"/>
    <w:rsid w:val="00E17408"/>
    <w:rsid w:val="00E17C78"/>
    <w:rsid w:val="00E24EBC"/>
    <w:rsid w:val="00E26D90"/>
    <w:rsid w:val="00E36C5A"/>
    <w:rsid w:val="00E37609"/>
    <w:rsid w:val="00E42775"/>
    <w:rsid w:val="00E56AC0"/>
    <w:rsid w:val="00E56D32"/>
    <w:rsid w:val="00E61328"/>
    <w:rsid w:val="00E64FB8"/>
    <w:rsid w:val="00E6659B"/>
    <w:rsid w:val="00E82309"/>
    <w:rsid w:val="00E8752E"/>
    <w:rsid w:val="00E94088"/>
    <w:rsid w:val="00EB54B7"/>
    <w:rsid w:val="00EB5F0E"/>
    <w:rsid w:val="00EC2080"/>
    <w:rsid w:val="00EC5910"/>
    <w:rsid w:val="00ED1ABF"/>
    <w:rsid w:val="00ED2E5B"/>
    <w:rsid w:val="00EE0539"/>
    <w:rsid w:val="00EE0AF4"/>
    <w:rsid w:val="00EF01EA"/>
    <w:rsid w:val="00EF1FDC"/>
    <w:rsid w:val="00EF298E"/>
    <w:rsid w:val="00F0349C"/>
    <w:rsid w:val="00F05B8D"/>
    <w:rsid w:val="00F129F7"/>
    <w:rsid w:val="00F15115"/>
    <w:rsid w:val="00F2035B"/>
    <w:rsid w:val="00F20472"/>
    <w:rsid w:val="00F206CF"/>
    <w:rsid w:val="00F222F0"/>
    <w:rsid w:val="00F23292"/>
    <w:rsid w:val="00F234C2"/>
    <w:rsid w:val="00F23817"/>
    <w:rsid w:val="00F248BC"/>
    <w:rsid w:val="00F24A2B"/>
    <w:rsid w:val="00F27675"/>
    <w:rsid w:val="00F30504"/>
    <w:rsid w:val="00F3306F"/>
    <w:rsid w:val="00F354EB"/>
    <w:rsid w:val="00F37256"/>
    <w:rsid w:val="00F37748"/>
    <w:rsid w:val="00F415C8"/>
    <w:rsid w:val="00F45C22"/>
    <w:rsid w:val="00F465E9"/>
    <w:rsid w:val="00F54569"/>
    <w:rsid w:val="00F546B0"/>
    <w:rsid w:val="00F56172"/>
    <w:rsid w:val="00F575F3"/>
    <w:rsid w:val="00F60106"/>
    <w:rsid w:val="00F74EB9"/>
    <w:rsid w:val="00F757E8"/>
    <w:rsid w:val="00F82FD7"/>
    <w:rsid w:val="00F83EAB"/>
    <w:rsid w:val="00F91512"/>
    <w:rsid w:val="00F95B2D"/>
    <w:rsid w:val="00F95CFE"/>
    <w:rsid w:val="00FA04CA"/>
    <w:rsid w:val="00FB1354"/>
    <w:rsid w:val="00FB1BC7"/>
    <w:rsid w:val="00FC0469"/>
    <w:rsid w:val="00FC1051"/>
    <w:rsid w:val="00FC3574"/>
    <w:rsid w:val="00FC5367"/>
    <w:rsid w:val="00FC5C36"/>
    <w:rsid w:val="00FD7B00"/>
    <w:rsid w:val="00FE49CF"/>
    <w:rsid w:val="00FE4F4E"/>
    <w:rsid w:val="00FE5285"/>
    <w:rsid w:val="00FE6380"/>
    <w:rsid w:val="00FF2BCC"/>
    <w:rsid w:val="1F6DBE17"/>
    <w:rsid w:val="2AC49293"/>
    <w:rsid w:val="709FBF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B4417"/>
  <w15:docId w15:val="{10DDCC3C-9EEF-455A-BDB7-8AC1398C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ChapterTitle"/>
    <w:next w:val="Normal"/>
    <w:link w:val="Heading1Char"/>
    <w:qFormat/>
    <w:rsid w:val="00265E17"/>
    <w:pPr>
      <w:numPr>
        <w:numId w:val="5"/>
      </w:numPr>
      <w:tabs>
        <w:tab w:val="clear" w:pos="2268"/>
      </w:tabs>
      <w:outlineLvl w:val="0"/>
    </w:pPr>
    <w:rPr>
      <w:lang w:val="en-US"/>
    </w:rPr>
  </w:style>
  <w:style w:type="paragraph" w:styleId="Heading2">
    <w:name w:val="heading 2"/>
    <w:basedOn w:val="ChapterHeadingOne"/>
    <w:next w:val="Normal"/>
    <w:qFormat/>
    <w:rsid w:val="000575E4"/>
    <w:pPr>
      <w:outlineLvl w:val="1"/>
    </w:pPr>
    <w:rPr>
      <w:lang w:eastAsia="en-AU"/>
    </w:rPr>
  </w:style>
  <w:style w:type="paragraph" w:styleId="Heading3">
    <w:name w:val="heading 3"/>
    <w:basedOn w:val="Normal"/>
    <w:next w:val="Normal"/>
    <w:qFormat/>
    <w:rsid w:val="0029594A"/>
    <w:pPr>
      <w:keepNext/>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855F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5F2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55F2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55F2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55F2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55F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tabs>
        <w:tab w:val="clear" w:pos="993"/>
        <w:tab w:val="num" w:pos="851"/>
      </w:tabs>
      <w:spacing w:before="240" w:after="0"/>
      <w:ind w:left="851"/>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tabs>
        <w:tab w:val="num" w:pos="2268"/>
      </w:tabs>
      <w:ind w:left="2268" w:hanging="2268"/>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character" w:styleId="Hyperlink">
    <w:name w:val="Hyperlink"/>
    <w:basedOn w:val="DefaultParagraphFont"/>
    <w:rsid w:val="005F52AE"/>
    <w:rPr>
      <w:color w:val="0000FF"/>
      <w:u w:val="single"/>
    </w:rPr>
  </w:style>
  <w:style w:type="paragraph" w:customStyle="1" w:styleId="CoverDate">
    <w:name w:val="CoverDate"/>
    <w:basedOn w:val="InitialOtherInfo"/>
    <w:rsid w:val="005F52AE"/>
  </w:style>
  <w:style w:type="character" w:customStyle="1" w:styleId="FootnoteTextChar">
    <w:name w:val="Footnote Text Char"/>
    <w:basedOn w:val="DefaultParagraphFont"/>
    <w:link w:val="FootnoteText"/>
    <w:rsid w:val="005F52AE"/>
    <w:rPr>
      <w:rFonts w:ascii="Garamond" w:hAnsi="Garamond"/>
      <w:sz w:val="22"/>
      <w:lang w:eastAsia="en-US"/>
    </w:rPr>
  </w:style>
  <w:style w:type="paragraph" w:styleId="DocumentMap">
    <w:name w:val="Document Map"/>
    <w:basedOn w:val="Normal"/>
    <w:link w:val="DocumentMapChar"/>
    <w:rsid w:val="005F52AE"/>
    <w:pPr>
      <w:shd w:val="clear" w:color="auto" w:fill="000080"/>
    </w:pPr>
    <w:rPr>
      <w:rFonts w:ascii="Tahoma" w:hAnsi="Tahoma"/>
    </w:rPr>
  </w:style>
  <w:style w:type="character" w:customStyle="1" w:styleId="DocumentMapChar">
    <w:name w:val="Document Map Char"/>
    <w:basedOn w:val="DefaultParagraphFont"/>
    <w:link w:val="DocumentMap"/>
    <w:rsid w:val="005F52AE"/>
    <w:rPr>
      <w:rFonts w:ascii="Tahoma" w:hAnsi="Tahoma"/>
      <w:shd w:val="clear" w:color="auto" w:fill="000080"/>
      <w:lang w:eastAsia="en-US"/>
    </w:rPr>
  </w:style>
  <w:style w:type="paragraph" w:styleId="EndnoteText">
    <w:name w:val="endnote text"/>
    <w:basedOn w:val="Normal"/>
    <w:link w:val="EndnoteTextChar"/>
    <w:rsid w:val="005F52AE"/>
  </w:style>
  <w:style w:type="character" w:customStyle="1" w:styleId="EndnoteTextChar">
    <w:name w:val="Endnote Text Char"/>
    <w:basedOn w:val="DefaultParagraphFont"/>
    <w:link w:val="EndnoteText"/>
    <w:rsid w:val="005F52AE"/>
    <w:rPr>
      <w:rFonts w:ascii="Garamond" w:hAnsi="Garamond"/>
      <w:lang w:eastAsia="en-US"/>
    </w:rPr>
  </w:style>
  <w:style w:type="character" w:styleId="EndnoteReference">
    <w:name w:val="endnote reference"/>
    <w:basedOn w:val="DefaultParagraphFont"/>
    <w:rsid w:val="005F52AE"/>
    <w:rPr>
      <w:vertAlign w:val="superscript"/>
    </w:rPr>
  </w:style>
  <w:style w:type="character" w:customStyle="1" w:styleId="Heading1Char">
    <w:name w:val="Heading 1 Char"/>
    <w:basedOn w:val="DefaultParagraphFont"/>
    <w:link w:val="Heading1"/>
    <w:rsid w:val="00265E17"/>
    <w:rPr>
      <w:rFonts w:ascii="Garamond" w:hAnsi="Garamond"/>
      <w:b/>
      <w:sz w:val="40"/>
      <w:lang w:val="en-US" w:eastAsia="en-US"/>
    </w:rPr>
  </w:style>
  <w:style w:type="character" w:styleId="CommentReference">
    <w:name w:val="annotation reference"/>
    <w:basedOn w:val="DefaultParagraphFont"/>
    <w:rsid w:val="005F52AE"/>
    <w:rPr>
      <w:sz w:val="16"/>
      <w:szCs w:val="16"/>
    </w:rPr>
  </w:style>
  <w:style w:type="character" w:customStyle="1" w:styleId="CommentTextChar">
    <w:name w:val="Comment Text Char"/>
    <w:basedOn w:val="DefaultParagraphFont"/>
    <w:rsid w:val="005F52AE"/>
    <w:rPr>
      <w:rFonts w:ascii="Garamond" w:hAnsi="Garamond"/>
      <w:lang w:eastAsia="en-US"/>
    </w:rPr>
  </w:style>
  <w:style w:type="paragraph" w:styleId="CommentSubject">
    <w:name w:val="annotation subject"/>
    <w:basedOn w:val="CommentText"/>
    <w:next w:val="CommentText"/>
    <w:link w:val="CommentSubjectChar"/>
    <w:rsid w:val="005F52AE"/>
    <w:rPr>
      <w:b/>
      <w:bCs/>
    </w:rPr>
  </w:style>
  <w:style w:type="character" w:customStyle="1" w:styleId="CommentTextChar1">
    <w:name w:val="Comment Text Char1"/>
    <w:basedOn w:val="DefaultParagraphFont"/>
    <w:link w:val="CommentText"/>
    <w:rsid w:val="005F52AE"/>
    <w:rPr>
      <w:rFonts w:ascii="Garamond" w:hAnsi="Garamond"/>
      <w:lang w:eastAsia="en-US"/>
    </w:rPr>
  </w:style>
  <w:style w:type="character" w:customStyle="1" w:styleId="CommentSubjectChar">
    <w:name w:val="Comment Subject Char"/>
    <w:basedOn w:val="CommentTextChar1"/>
    <w:link w:val="CommentSubject"/>
    <w:rsid w:val="005F52AE"/>
    <w:rPr>
      <w:rFonts w:ascii="Garamond" w:hAnsi="Garamond"/>
      <w:b/>
      <w:bCs/>
      <w:lang w:eastAsia="en-US"/>
    </w:rPr>
  </w:style>
  <w:style w:type="paragraph" w:styleId="Revision">
    <w:name w:val="Revision"/>
    <w:hidden/>
    <w:uiPriority w:val="99"/>
    <w:semiHidden/>
    <w:rsid w:val="005F52AE"/>
    <w:rPr>
      <w:rFonts w:ascii="Garamond" w:hAnsi="Garamond"/>
      <w:lang w:eastAsia="en-US"/>
    </w:rPr>
  </w:style>
  <w:style w:type="character" w:customStyle="1" w:styleId="cf01">
    <w:name w:val="cf01"/>
    <w:basedOn w:val="DefaultParagraphFont"/>
    <w:rsid w:val="005F52AE"/>
    <w:rPr>
      <w:rFonts w:ascii="Segoe UI" w:hAnsi="Segoe UI" w:cs="Segoe UI" w:hint="default"/>
      <w:sz w:val="18"/>
      <w:szCs w:val="18"/>
    </w:rPr>
  </w:style>
  <w:style w:type="character" w:styleId="UnresolvedMention">
    <w:name w:val="Unresolved Mention"/>
    <w:basedOn w:val="DefaultParagraphFont"/>
    <w:uiPriority w:val="99"/>
    <w:semiHidden/>
    <w:unhideWhenUsed/>
    <w:rsid w:val="005F52AE"/>
    <w:rPr>
      <w:color w:val="605E5C"/>
      <w:shd w:val="clear" w:color="auto" w:fill="E1DFDD"/>
    </w:rPr>
  </w:style>
  <w:style w:type="paragraph" w:styleId="ListParagraph">
    <w:name w:val="List Paragraph"/>
    <w:basedOn w:val="Normal"/>
    <w:uiPriority w:val="34"/>
    <w:qFormat/>
    <w:rsid w:val="005F52AE"/>
    <w:pPr>
      <w:ind w:left="720"/>
      <w:contextualSpacing/>
    </w:pPr>
  </w:style>
  <w:style w:type="paragraph" w:styleId="Bibliography">
    <w:name w:val="Bibliography"/>
    <w:basedOn w:val="Normal"/>
    <w:next w:val="Normal"/>
    <w:uiPriority w:val="37"/>
    <w:semiHidden/>
    <w:unhideWhenUsed/>
    <w:rsid w:val="00855F2E"/>
  </w:style>
  <w:style w:type="paragraph" w:styleId="BlockText">
    <w:name w:val="Block Text"/>
    <w:basedOn w:val="Normal"/>
    <w:rsid w:val="00855F2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855F2E"/>
    <w:pPr>
      <w:spacing w:after="120" w:line="480" w:lineRule="auto"/>
    </w:pPr>
  </w:style>
  <w:style w:type="character" w:customStyle="1" w:styleId="BodyText2Char">
    <w:name w:val="Body Text 2 Char"/>
    <w:basedOn w:val="DefaultParagraphFont"/>
    <w:link w:val="BodyText2"/>
    <w:rsid w:val="00855F2E"/>
    <w:rPr>
      <w:rFonts w:ascii="Garamond" w:hAnsi="Garamond"/>
      <w:lang w:eastAsia="en-US"/>
    </w:rPr>
  </w:style>
  <w:style w:type="paragraph" w:styleId="BodyText3">
    <w:name w:val="Body Text 3"/>
    <w:basedOn w:val="Normal"/>
    <w:link w:val="BodyText3Char"/>
    <w:rsid w:val="00855F2E"/>
    <w:pPr>
      <w:spacing w:after="120"/>
    </w:pPr>
    <w:rPr>
      <w:sz w:val="16"/>
      <w:szCs w:val="16"/>
    </w:rPr>
  </w:style>
  <w:style w:type="character" w:customStyle="1" w:styleId="BodyText3Char">
    <w:name w:val="Body Text 3 Char"/>
    <w:basedOn w:val="DefaultParagraphFont"/>
    <w:link w:val="BodyText3"/>
    <w:rsid w:val="00855F2E"/>
    <w:rPr>
      <w:rFonts w:ascii="Garamond" w:hAnsi="Garamond"/>
      <w:sz w:val="16"/>
      <w:szCs w:val="16"/>
      <w:lang w:eastAsia="en-US"/>
    </w:rPr>
  </w:style>
  <w:style w:type="paragraph" w:styleId="BodyTextFirstIndent">
    <w:name w:val="Body Text First Indent"/>
    <w:basedOn w:val="BodyText"/>
    <w:link w:val="BodyTextFirstIndentChar"/>
    <w:rsid w:val="00855F2E"/>
    <w:pPr>
      <w:spacing w:after="0"/>
      <w:ind w:firstLine="360"/>
    </w:pPr>
  </w:style>
  <w:style w:type="character" w:customStyle="1" w:styleId="BodyTextChar">
    <w:name w:val="Body Text Char"/>
    <w:basedOn w:val="DefaultParagraphFont"/>
    <w:link w:val="BodyText"/>
    <w:rsid w:val="00855F2E"/>
    <w:rPr>
      <w:rFonts w:ascii="Garamond" w:hAnsi="Garamond"/>
      <w:lang w:eastAsia="en-US"/>
    </w:rPr>
  </w:style>
  <w:style w:type="character" w:customStyle="1" w:styleId="BodyTextFirstIndentChar">
    <w:name w:val="Body Text First Indent Char"/>
    <w:basedOn w:val="BodyTextChar"/>
    <w:link w:val="BodyTextFirstIndent"/>
    <w:rsid w:val="00855F2E"/>
    <w:rPr>
      <w:rFonts w:ascii="Garamond" w:hAnsi="Garamond"/>
      <w:lang w:eastAsia="en-US"/>
    </w:rPr>
  </w:style>
  <w:style w:type="paragraph" w:styleId="BodyTextIndent">
    <w:name w:val="Body Text Indent"/>
    <w:basedOn w:val="Normal"/>
    <w:link w:val="BodyTextIndentChar"/>
    <w:rsid w:val="00855F2E"/>
    <w:pPr>
      <w:spacing w:after="120"/>
      <w:ind w:left="283"/>
    </w:pPr>
  </w:style>
  <w:style w:type="character" w:customStyle="1" w:styleId="BodyTextIndentChar">
    <w:name w:val="Body Text Indent Char"/>
    <w:basedOn w:val="DefaultParagraphFont"/>
    <w:link w:val="BodyTextIndent"/>
    <w:rsid w:val="00855F2E"/>
    <w:rPr>
      <w:rFonts w:ascii="Garamond" w:hAnsi="Garamond"/>
      <w:lang w:eastAsia="en-US"/>
    </w:rPr>
  </w:style>
  <w:style w:type="paragraph" w:styleId="BodyTextFirstIndent2">
    <w:name w:val="Body Text First Indent 2"/>
    <w:basedOn w:val="BodyTextIndent"/>
    <w:link w:val="BodyTextFirstIndent2Char"/>
    <w:rsid w:val="00855F2E"/>
    <w:pPr>
      <w:spacing w:after="0"/>
      <w:ind w:left="360" w:firstLine="360"/>
    </w:pPr>
  </w:style>
  <w:style w:type="character" w:customStyle="1" w:styleId="BodyTextFirstIndent2Char">
    <w:name w:val="Body Text First Indent 2 Char"/>
    <w:basedOn w:val="BodyTextIndentChar"/>
    <w:link w:val="BodyTextFirstIndent2"/>
    <w:rsid w:val="00855F2E"/>
    <w:rPr>
      <w:rFonts w:ascii="Garamond" w:hAnsi="Garamond"/>
      <w:lang w:eastAsia="en-US"/>
    </w:rPr>
  </w:style>
  <w:style w:type="paragraph" w:styleId="BodyTextIndent2">
    <w:name w:val="Body Text Indent 2"/>
    <w:basedOn w:val="Normal"/>
    <w:link w:val="BodyTextIndent2Char"/>
    <w:rsid w:val="00855F2E"/>
    <w:pPr>
      <w:spacing w:after="120" w:line="480" w:lineRule="auto"/>
      <w:ind w:left="283"/>
    </w:pPr>
  </w:style>
  <w:style w:type="character" w:customStyle="1" w:styleId="BodyTextIndent2Char">
    <w:name w:val="Body Text Indent 2 Char"/>
    <w:basedOn w:val="DefaultParagraphFont"/>
    <w:link w:val="BodyTextIndent2"/>
    <w:rsid w:val="00855F2E"/>
    <w:rPr>
      <w:rFonts w:ascii="Garamond" w:hAnsi="Garamond"/>
      <w:lang w:eastAsia="en-US"/>
    </w:rPr>
  </w:style>
  <w:style w:type="paragraph" w:styleId="BodyTextIndent3">
    <w:name w:val="Body Text Indent 3"/>
    <w:basedOn w:val="Normal"/>
    <w:link w:val="BodyTextIndent3Char"/>
    <w:rsid w:val="00855F2E"/>
    <w:pPr>
      <w:spacing w:after="120"/>
      <w:ind w:left="283"/>
    </w:pPr>
    <w:rPr>
      <w:sz w:val="16"/>
      <w:szCs w:val="16"/>
    </w:rPr>
  </w:style>
  <w:style w:type="character" w:customStyle="1" w:styleId="BodyTextIndent3Char">
    <w:name w:val="Body Text Indent 3 Char"/>
    <w:basedOn w:val="DefaultParagraphFont"/>
    <w:link w:val="BodyTextIndent3"/>
    <w:rsid w:val="00855F2E"/>
    <w:rPr>
      <w:rFonts w:ascii="Garamond" w:hAnsi="Garamond"/>
      <w:sz w:val="16"/>
      <w:szCs w:val="16"/>
      <w:lang w:eastAsia="en-US"/>
    </w:rPr>
  </w:style>
  <w:style w:type="paragraph" w:styleId="Closing">
    <w:name w:val="Closing"/>
    <w:basedOn w:val="Normal"/>
    <w:link w:val="ClosingChar"/>
    <w:rsid w:val="00855F2E"/>
    <w:pPr>
      <w:ind w:left="4252"/>
    </w:pPr>
  </w:style>
  <w:style w:type="character" w:customStyle="1" w:styleId="ClosingChar">
    <w:name w:val="Closing Char"/>
    <w:basedOn w:val="DefaultParagraphFont"/>
    <w:link w:val="Closing"/>
    <w:rsid w:val="00855F2E"/>
    <w:rPr>
      <w:rFonts w:ascii="Garamond" w:hAnsi="Garamond"/>
      <w:lang w:eastAsia="en-US"/>
    </w:rPr>
  </w:style>
  <w:style w:type="paragraph" w:styleId="Date">
    <w:name w:val="Date"/>
    <w:basedOn w:val="Normal"/>
    <w:next w:val="Normal"/>
    <w:link w:val="DateChar"/>
    <w:rsid w:val="00855F2E"/>
  </w:style>
  <w:style w:type="character" w:customStyle="1" w:styleId="DateChar">
    <w:name w:val="Date Char"/>
    <w:basedOn w:val="DefaultParagraphFont"/>
    <w:link w:val="Date"/>
    <w:rsid w:val="00855F2E"/>
    <w:rPr>
      <w:rFonts w:ascii="Garamond" w:hAnsi="Garamond"/>
      <w:lang w:eastAsia="en-US"/>
    </w:rPr>
  </w:style>
  <w:style w:type="paragraph" w:styleId="E-mailSignature">
    <w:name w:val="E-mail Signature"/>
    <w:basedOn w:val="Normal"/>
    <w:link w:val="E-mailSignatureChar"/>
    <w:rsid w:val="00855F2E"/>
  </w:style>
  <w:style w:type="character" w:customStyle="1" w:styleId="E-mailSignatureChar">
    <w:name w:val="E-mail Signature Char"/>
    <w:basedOn w:val="DefaultParagraphFont"/>
    <w:link w:val="E-mailSignature"/>
    <w:rsid w:val="00855F2E"/>
    <w:rPr>
      <w:rFonts w:ascii="Garamond" w:hAnsi="Garamond"/>
      <w:lang w:eastAsia="en-US"/>
    </w:rPr>
  </w:style>
  <w:style w:type="paragraph" w:styleId="EnvelopeAddress">
    <w:name w:val="envelope address"/>
    <w:basedOn w:val="Normal"/>
    <w:rsid w:val="00855F2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55F2E"/>
    <w:rPr>
      <w:rFonts w:asciiTheme="majorHAnsi" w:eastAsiaTheme="majorEastAsia" w:hAnsiTheme="majorHAnsi" w:cstheme="majorBidi"/>
    </w:rPr>
  </w:style>
  <w:style w:type="character" w:customStyle="1" w:styleId="Heading4Char">
    <w:name w:val="Heading 4 Char"/>
    <w:basedOn w:val="DefaultParagraphFont"/>
    <w:link w:val="Heading4"/>
    <w:semiHidden/>
    <w:rsid w:val="00855F2E"/>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855F2E"/>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855F2E"/>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855F2E"/>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855F2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855F2E"/>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rsid w:val="00855F2E"/>
    <w:rPr>
      <w:i/>
      <w:iCs/>
    </w:rPr>
  </w:style>
  <w:style w:type="character" w:customStyle="1" w:styleId="HTMLAddressChar">
    <w:name w:val="HTML Address Char"/>
    <w:basedOn w:val="DefaultParagraphFont"/>
    <w:link w:val="HTMLAddress"/>
    <w:rsid w:val="00855F2E"/>
    <w:rPr>
      <w:rFonts w:ascii="Garamond" w:hAnsi="Garamond"/>
      <w:i/>
      <w:iCs/>
      <w:lang w:eastAsia="en-US"/>
    </w:rPr>
  </w:style>
  <w:style w:type="paragraph" w:styleId="HTMLPreformatted">
    <w:name w:val="HTML Preformatted"/>
    <w:basedOn w:val="Normal"/>
    <w:link w:val="HTMLPreformattedChar"/>
    <w:rsid w:val="00855F2E"/>
    <w:rPr>
      <w:rFonts w:ascii="Consolas" w:hAnsi="Consolas"/>
    </w:rPr>
  </w:style>
  <w:style w:type="character" w:customStyle="1" w:styleId="HTMLPreformattedChar">
    <w:name w:val="HTML Preformatted Char"/>
    <w:basedOn w:val="DefaultParagraphFont"/>
    <w:link w:val="HTMLPreformatted"/>
    <w:rsid w:val="00855F2E"/>
    <w:rPr>
      <w:rFonts w:ascii="Consolas" w:hAnsi="Consolas"/>
      <w:lang w:eastAsia="en-US"/>
    </w:rPr>
  </w:style>
  <w:style w:type="paragraph" w:styleId="IntenseQuote">
    <w:name w:val="Intense Quote"/>
    <w:basedOn w:val="Normal"/>
    <w:next w:val="Normal"/>
    <w:link w:val="IntenseQuoteChar"/>
    <w:uiPriority w:val="30"/>
    <w:qFormat/>
    <w:rsid w:val="00855F2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5F2E"/>
    <w:rPr>
      <w:rFonts w:ascii="Garamond" w:hAnsi="Garamond"/>
      <w:i/>
      <w:iCs/>
      <w:color w:val="4F81BD" w:themeColor="accent1"/>
      <w:lang w:eastAsia="en-US"/>
    </w:rPr>
  </w:style>
  <w:style w:type="paragraph" w:styleId="List">
    <w:name w:val="List"/>
    <w:basedOn w:val="Normal"/>
    <w:rsid w:val="00855F2E"/>
    <w:pPr>
      <w:ind w:left="283" w:hanging="283"/>
      <w:contextualSpacing/>
    </w:pPr>
  </w:style>
  <w:style w:type="paragraph" w:styleId="List2">
    <w:name w:val="List 2"/>
    <w:basedOn w:val="Normal"/>
    <w:rsid w:val="00855F2E"/>
    <w:pPr>
      <w:ind w:left="566" w:hanging="283"/>
      <w:contextualSpacing/>
    </w:pPr>
  </w:style>
  <w:style w:type="paragraph" w:styleId="List3">
    <w:name w:val="List 3"/>
    <w:basedOn w:val="Normal"/>
    <w:rsid w:val="00855F2E"/>
    <w:pPr>
      <w:ind w:left="849" w:hanging="283"/>
      <w:contextualSpacing/>
    </w:pPr>
  </w:style>
  <w:style w:type="paragraph" w:styleId="List4">
    <w:name w:val="List 4"/>
    <w:basedOn w:val="Normal"/>
    <w:rsid w:val="00855F2E"/>
    <w:pPr>
      <w:ind w:left="1132" w:hanging="283"/>
      <w:contextualSpacing/>
    </w:pPr>
  </w:style>
  <w:style w:type="paragraph" w:styleId="List5">
    <w:name w:val="List 5"/>
    <w:basedOn w:val="Normal"/>
    <w:rsid w:val="00855F2E"/>
    <w:pPr>
      <w:ind w:left="1415" w:hanging="283"/>
      <w:contextualSpacing/>
    </w:pPr>
  </w:style>
  <w:style w:type="paragraph" w:styleId="ListBullet">
    <w:name w:val="List Bullet"/>
    <w:basedOn w:val="Normal"/>
    <w:rsid w:val="00855F2E"/>
    <w:pPr>
      <w:numPr>
        <w:numId w:val="26"/>
      </w:numPr>
      <w:contextualSpacing/>
    </w:pPr>
  </w:style>
  <w:style w:type="paragraph" w:styleId="ListBullet2">
    <w:name w:val="List Bullet 2"/>
    <w:basedOn w:val="Normal"/>
    <w:rsid w:val="00855F2E"/>
    <w:pPr>
      <w:numPr>
        <w:numId w:val="27"/>
      </w:numPr>
      <w:contextualSpacing/>
    </w:pPr>
  </w:style>
  <w:style w:type="paragraph" w:styleId="ListBullet3">
    <w:name w:val="List Bullet 3"/>
    <w:basedOn w:val="Normal"/>
    <w:rsid w:val="00855F2E"/>
    <w:pPr>
      <w:numPr>
        <w:numId w:val="28"/>
      </w:numPr>
      <w:contextualSpacing/>
    </w:pPr>
  </w:style>
  <w:style w:type="paragraph" w:styleId="ListBullet4">
    <w:name w:val="List Bullet 4"/>
    <w:basedOn w:val="Normal"/>
    <w:rsid w:val="00855F2E"/>
    <w:pPr>
      <w:numPr>
        <w:numId w:val="29"/>
      </w:numPr>
      <w:contextualSpacing/>
    </w:pPr>
  </w:style>
  <w:style w:type="paragraph" w:styleId="ListBullet5">
    <w:name w:val="List Bullet 5"/>
    <w:basedOn w:val="Normal"/>
    <w:rsid w:val="00855F2E"/>
    <w:pPr>
      <w:numPr>
        <w:numId w:val="30"/>
      </w:numPr>
      <w:contextualSpacing/>
    </w:pPr>
  </w:style>
  <w:style w:type="paragraph" w:styleId="ListContinue">
    <w:name w:val="List Continue"/>
    <w:basedOn w:val="Normal"/>
    <w:rsid w:val="00855F2E"/>
    <w:pPr>
      <w:spacing w:after="120"/>
      <w:ind w:left="283"/>
      <w:contextualSpacing/>
    </w:pPr>
  </w:style>
  <w:style w:type="paragraph" w:styleId="ListContinue2">
    <w:name w:val="List Continue 2"/>
    <w:basedOn w:val="Normal"/>
    <w:rsid w:val="00855F2E"/>
    <w:pPr>
      <w:spacing w:after="120"/>
      <w:ind w:left="566"/>
      <w:contextualSpacing/>
    </w:pPr>
  </w:style>
  <w:style w:type="paragraph" w:styleId="ListContinue3">
    <w:name w:val="List Continue 3"/>
    <w:basedOn w:val="Normal"/>
    <w:rsid w:val="00855F2E"/>
    <w:pPr>
      <w:spacing w:after="120"/>
      <w:ind w:left="849"/>
      <w:contextualSpacing/>
    </w:pPr>
  </w:style>
  <w:style w:type="paragraph" w:styleId="ListContinue4">
    <w:name w:val="List Continue 4"/>
    <w:basedOn w:val="Normal"/>
    <w:rsid w:val="00855F2E"/>
    <w:pPr>
      <w:spacing w:after="120"/>
      <w:ind w:left="1132"/>
      <w:contextualSpacing/>
    </w:pPr>
  </w:style>
  <w:style w:type="paragraph" w:styleId="ListContinue5">
    <w:name w:val="List Continue 5"/>
    <w:basedOn w:val="Normal"/>
    <w:rsid w:val="00855F2E"/>
    <w:pPr>
      <w:spacing w:after="120"/>
      <w:ind w:left="1415"/>
      <w:contextualSpacing/>
    </w:pPr>
  </w:style>
  <w:style w:type="paragraph" w:styleId="ListNumber">
    <w:name w:val="List Number"/>
    <w:basedOn w:val="Normal"/>
    <w:rsid w:val="00855F2E"/>
    <w:pPr>
      <w:numPr>
        <w:numId w:val="31"/>
      </w:numPr>
      <w:contextualSpacing/>
    </w:pPr>
  </w:style>
  <w:style w:type="paragraph" w:styleId="ListNumber2">
    <w:name w:val="List Number 2"/>
    <w:basedOn w:val="Normal"/>
    <w:rsid w:val="00855F2E"/>
    <w:pPr>
      <w:numPr>
        <w:numId w:val="32"/>
      </w:numPr>
      <w:contextualSpacing/>
    </w:pPr>
  </w:style>
  <w:style w:type="paragraph" w:styleId="ListNumber3">
    <w:name w:val="List Number 3"/>
    <w:basedOn w:val="Normal"/>
    <w:rsid w:val="00855F2E"/>
    <w:pPr>
      <w:numPr>
        <w:numId w:val="33"/>
      </w:numPr>
      <w:contextualSpacing/>
    </w:pPr>
  </w:style>
  <w:style w:type="paragraph" w:styleId="ListNumber4">
    <w:name w:val="List Number 4"/>
    <w:basedOn w:val="Normal"/>
    <w:rsid w:val="00855F2E"/>
    <w:pPr>
      <w:numPr>
        <w:numId w:val="34"/>
      </w:numPr>
      <w:contextualSpacing/>
    </w:pPr>
  </w:style>
  <w:style w:type="paragraph" w:styleId="ListNumber5">
    <w:name w:val="List Number 5"/>
    <w:basedOn w:val="Normal"/>
    <w:rsid w:val="00855F2E"/>
    <w:pPr>
      <w:numPr>
        <w:numId w:val="35"/>
      </w:numPr>
      <w:contextualSpacing/>
    </w:pPr>
  </w:style>
  <w:style w:type="paragraph" w:styleId="MacroText">
    <w:name w:val="macro"/>
    <w:link w:val="MacroTextChar"/>
    <w:rsid w:val="00855F2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855F2E"/>
    <w:rPr>
      <w:rFonts w:ascii="Consolas" w:hAnsi="Consolas"/>
      <w:lang w:eastAsia="en-US"/>
    </w:rPr>
  </w:style>
  <w:style w:type="paragraph" w:styleId="MessageHeader">
    <w:name w:val="Message Header"/>
    <w:basedOn w:val="Normal"/>
    <w:link w:val="MessageHeaderChar"/>
    <w:rsid w:val="00855F2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55F2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55F2E"/>
    <w:rPr>
      <w:rFonts w:ascii="Garamond" w:hAnsi="Garamond"/>
      <w:lang w:eastAsia="en-US"/>
    </w:rPr>
  </w:style>
  <w:style w:type="paragraph" w:styleId="NormalWeb">
    <w:name w:val="Normal (Web)"/>
    <w:basedOn w:val="Normal"/>
    <w:rsid w:val="00855F2E"/>
    <w:rPr>
      <w:rFonts w:ascii="Times New Roman" w:hAnsi="Times New Roman"/>
      <w:sz w:val="24"/>
      <w:szCs w:val="24"/>
    </w:rPr>
  </w:style>
  <w:style w:type="paragraph" w:styleId="NormalIndent">
    <w:name w:val="Normal Indent"/>
    <w:basedOn w:val="Normal"/>
    <w:rsid w:val="00855F2E"/>
    <w:pPr>
      <w:ind w:left="567"/>
    </w:pPr>
  </w:style>
  <w:style w:type="paragraph" w:styleId="NoteHeading">
    <w:name w:val="Note Heading"/>
    <w:basedOn w:val="Normal"/>
    <w:next w:val="Normal"/>
    <w:link w:val="NoteHeadingChar"/>
    <w:rsid w:val="00855F2E"/>
  </w:style>
  <w:style w:type="character" w:customStyle="1" w:styleId="NoteHeadingChar">
    <w:name w:val="Note Heading Char"/>
    <w:basedOn w:val="DefaultParagraphFont"/>
    <w:link w:val="NoteHeading"/>
    <w:rsid w:val="00855F2E"/>
    <w:rPr>
      <w:rFonts w:ascii="Garamond" w:hAnsi="Garamond"/>
      <w:lang w:eastAsia="en-US"/>
    </w:rPr>
  </w:style>
  <w:style w:type="paragraph" w:styleId="PlainText">
    <w:name w:val="Plain Text"/>
    <w:basedOn w:val="Normal"/>
    <w:link w:val="PlainTextChar"/>
    <w:rsid w:val="00855F2E"/>
    <w:rPr>
      <w:rFonts w:ascii="Consolas" w:hAnsi="Consolas"/>
      <w:sz w:val="21"/>
      <w:szCs w:val="21"/>
    </w:rPr>
  </w:style>
  <w:style w:type="character" w:customStyle="1" w:styleId="PlainTextChar">
    <w:name w:val="Plain Text Char"/>
    <w:basedOn w:val="DefaultParagraphFont"/>
    <w:link w:val="PlainText"/>
    <w:rsid w:val="00855F2E"/>
    <w:rPr>
      <w:rFonts w:ascii="Consolas" w:hAnsi="Consolas"/>
      <w:sz w:val="21"/>
      <w:szCs w:val="21"/>
      <w:lang w:eastAsia="en-US"/>
    </w:rPr>
  </w:style>
  <w:style w:type="paragraph" w:styleId="Quote">
    <w:name w:val="Quote"/>
    <w:basedOn w:val="Normal"/>
    <w:next w:val="Normal"/>
    <w:link w:val="QuoteChar"/>
    <w:uiPriority w:val="29"/>
    <w:qFormat/>
    <w:rsid w:val="00855F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55F2E"/>
    <w:rPr>
      <w:rFonts w:ascii="Garamond" w:hAnsi="Garamond"/>
      <w:i/>
      <w:iCs/>
      <w:color w:val="404040" w:themeColor="text1" w:themeTint="BF"/>
      <w:lang w:eastAsia="en-US"/>
    </w:rPr>
  </w:style>
  <w:style w:type="paragraph" w:styleId="Salutation">
    <w:name w:val="Salutation"/>
    <w:basedOn w:val="Normal"/>
    <w:next w:val="Normal"/>
    <w:link w:val="SalutationChar"/>
    <w:rsid w:val="00855F2E"/>
  </w:style>
  <w:style w:type="character" w:customStyle="1" w:styleId="SalutationChar">
    <w:name w:val="Salutation Char"/>
    <w:basedOn w:val="DefaultParagraphFont"/>
    <w:link w:val="Salutation"/>
    <w:rsid w:val="00855F2E"/>
    <w:rPr>
      <w:rFonts w:ascii="Garamond" w:hAnsi="Garamond"/>
      <w:lang w:eastAsia="en-US"/>
    </w:rPr>
  </w:style>
  <w:style w:type="paragraph" w:styleId="Signature">
    <w:name w:val="Signature"/>
    <w:basedOn w:val="Normal"/>
    <w:link w:val="SignatureChar"/>
    <w:rsid w:val="00855F2E"/>
    <w:pPr>
      <w:ind w:left="4252"/>
    </w:pPr>
  </w:style>
  <w:style w:type="character" w:customStyle="1" w:styleId="SignatureChar">
    <w:name w:val="Signature Char"/>
    <w:basedOn w:val="DefaultParagraphFont"/>
    <w:link w:val="Signature"/>
    <w:rsid w:val="00855F2E"/>
    <w:rPr>
      <w:rFonts w:ascii="Garamond" w:hAnsi="Garamond"/>
      <w:lang w:eastAsia="en-US"/>
    </w:rPr>
  </w:style>
  <w:style w:type="paragraph" w:styleId="Subtitle">
    <w:name w:val="Subtitle"/>
    <w:basedOn w:val="Normal"/>
    <w:next w:val="Normal"/>
    <w:link w:val="SubtitleChar"/>
    <w:qFormat/>
    <w:rsid w:val="00855F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55F2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855F2E"/>
    <w:pPr>
      <w:ind w:left="200" w:hanging="200"/>
    </w:pPr>
  </w:style>
  <w:style w:type="paragraph" w:styleId="Title">
    <w:name w:val="Title"/>
    <w:basedOn w:val="Normal"/>
    <w:next w:val="Normal"/>
    <w:link w:val="TitleChar"/>
    <w:qFormat/>
    <w:rsid w:val="00855F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55F2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855F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55F2E"/>
    <w:pPr>
      <w:keepNext/>
      <w:keepLines/>
      <w:spacing w:before="240"/>
      <w:ind w:left="0" w:firstLine="0"/>
      <w:outlineLvl w:val="9"/>
    </w:pPr>
    <w:rPr>
      <w:rFonts w:asciiTheme="majorHAnsi" w:eastAsiaTheme="majorEastAsia" w:hAnsiTheme="majorHAnsi" w:cstheme="majorBidi"/>
      <w:b w:val="0"/>
      <w:color w:val="365F91" w:themeColor="accent1" w:themeShade="BF"/>
      <w:sz w:val="32"/>
      <w:szCs w:val="32"/>
    </w:rPr>
  </w:style>
  <w:style w:type="table" w:styleId="ListTable2">
    <w:name w:val="List Table 2"/>
    <w:basedOn w:val="TableNormal"/>
    <w:uiPriority w:val="47"/>
    <w:rsid w:val="00AC739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gendaDate">
    <w:name w:val="AgendaDate"/>
    <w:basedOn w:val="Normal"/>
    <w:qFormat/>
    <w:rsid w:val="00AC739E"/>
    <w:pPr>
      <w:spacing w:after="240"/>
      <w:jc w:val="center"/>
    </w:pPr>
    <w:rPr>
      <w:sz w:val="24"/>
    </w:rPr>
  </w:style>
  <w:style w:type="character" w:customStyle="1" w:styleId="normaltextrun">
    <w:name w:val="normaltextrun"/>
    <w:basedOn w:val="DefaultParagraphFont"/>
    <w:rsid w:val="00AC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6256">
      <w:bodyDiv w:val="1"/>
      <w:marLeft w:val="0"/>
      <w:marRight w:val="0"/>
      <w:marTop w:val="0"/>
      <w:marBottom w:val="0"/>
      <w:divBdr>
        <w:top w:val="none" w:sz="0" w:space="0" w:color="auto"/>
        <w:left w:val="none" w:sz="0" w:space="0" w:color="auto"/>
        <w:bottom w:val="none" w:sz="0" w:space="0" w:color="auto"/>
        <w:right w:val="none" w:sz="0" w:space="0" w:color="auto"/>
      </w:divBdr>
    </w:div>
    <w:div w:id="18899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parliament.nsw.gov.au/lcdocs/submissions/89302/Proposal%20on%20a%20youth%20advisory%20council%20on%20climate-%20Parliament%20Submission%20(1).pdf"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javascript:void(0);"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javascript:void(0);" TargetMode="Externa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hyperlink" Target="https://www.parliament.nsw.gov.au/lcdocs/submissions/89302/Proposal%20on%20a%20youth%20advisory%20council%20on%20climate-%20Parliament%20Submission%20(1).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javascript:void(0);" TargetMode="External"/><Relationship Id="rId30" Type="http://schemas.openxmlformats.org/officeDocument/2006/relationships/header" Target="head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948</Value>
      <Value>921</Value>
      <Value>3</Value>
      <Value>1</Value>
    </TaxCatchAll>
    <MemberTaxHTField0 xmlns="9554dec5-fbee-4d57-a17f-db187b6871cb">
      <Terms xmlns="http://schemas.microsoft.com/office/infopath/2007/PartnerControls"/>
    </MemberTaxHTField0>
    <Business_x005f_x0020_Identifier xmlns="aa27ac04-4ef1-4ecc-89ce-3a0f50f0af2b">3085</Business_x005f_x0020_Identifier>
    <PublishStatus xmlns="aa27ac04-4ef1-4ecc-89ce-3a0f50f0af2b">draft</PublishStatus>
    <Committee_x0020_Inquiry_x0020_Start_x0020_Date xmlns="aa27ac04-4ef1-4ecc-89ce-3a0f50f0af2b">2024-12-13T00:00:00+00:00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2024 Annual Report of the Net Zero Commission</TermName>
          <TermId xmlns="http://schemas.microsoft.com/office/infopath/2007/PartnerControls">60d5c52d-f4e3-4a01-be32-2b1b07736b57</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Joint Standing Committee on Net Zero Future</TermName>
          <TermId xmlns="http://schemas.microsoft.com/office/infopath/2007/PartnerControls">f99cacec-446e-4641-86f1-44e2ffbf5354</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 xsi:nil="true"/>
    <Committee_x0020_Start_x0020_Date xmlns="aa27ac04-4ef1-4ecc-89ce-3a0f50f0af2b">2024-06-20T00:00:00+00:00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2025-04-13T19:38:44+00:00</Tabled_x0020_Date>
    <Report_x005f_x0020_Id xmlns="aa27ac04-4ef1-4ecc-89ce-3a0f50f0af2b">8986</Report_x005f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F3A4-0BB1-4D43-80CB-3A47C4E5B1A8}">
  <ds:schemaRefs>
    <ds:schemaRef ds:uri="http://schemas.microsoft.com/office/2006/metadata/properties"/>
    <ds:schemaRef ds:uri="http://purl.org/dc/terms/"/>
    <ds:schemaRef ds:uri="http://schemas.microsoft.com/office/2006/documentManagement/types"/>
    <ds:schemaRef ds:uri="c11edf97-1d73-45dc-948b-b58814e50bbf"/>
    <ds:schemaRef ds:uri="a28944f1-0469-4012-b4b0-1f2b147ab447"/>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343A78-9732-40D3-B323-CDB68F8BB7D4}">
  <ds:schemaRefs>
    <ds:schemaRef ds:uri="http://schemas.microsoft.com/sharepoint/v3/contenttype/forms"/>
  </ds:schemaRefs>
</ds:datastoreItem>
</file>

<file path=customXml/itemProps3.xml><?xml version="1.0" encoding="utf-8"?>
<ds:datastoreItem xmlns:ds="http://schemas.openxmlformats.org/officeDocument/2006/customXml" ds:itemID="{054EF962-0EAE-4C4B-B653-B1A66DCE0C9C}"/>
</file>

<file path=customXml/itemProps4.xml><?xml version="1.0" encoding="utf-8"?>
<ds:datastoreItem xmlns:ds="http://schemas.openxmlformats.org/officeDocument/2006/customXml" ds:itemID="{F7678D71-3B8F-4ED3-91F0-9192996212FC}"/>
</file>

<file path=customXml/itemProps5.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1</TotalTime>
  <Pages>55</Pages>
  <Words>14026</Words>
  <Characters>78186</Characters>
  <Application>Microsoft Office Word</Application>
  <DocSecurity>2</DocSecurity>
  <Lines>1795</Lines>
  <Paragraphs>945</Paragraphs>
  <ScaleCrop>false</ScaleCrop>
  <HeadingPairs>
    <vt:vector size="2" baseType="variant">
      <vt:variant>
        <vt:lpstr>Title</vt:lpstr>
      </vt:variant>
      <vt:variant>
        <vt:i4>1</vt:i4>
      </vt:variant>
    </vt:vector>
  </HeadingPairs>
  <TitlesOfParts>
    <vt:vector size="1" baseType="lpstr">
      <vt:lpstr>Report No 1 - Joint Standing Committee on Net Zero Future - 2024 Annual Report of the Net Zero Commission</vt:lpstr>
    </vt:vector>
  </TitlesOfParts>
  <Company>MRA</Company>
  <LinksUpToDate>false</LinksUpToDate>
  <CharactersWithSpaces>91620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1 - Joint Standing Committee on Net Zero Future - 2024 Annual Report of the Net Zero Commission</dc:title>
  <dc:subject/>
  <dc:creator>Tina Mrozowska</dc:creator>
  <cp:keywords/>
  <cp:lastModifiedBy>Tina Mrozowska</cp:lastModifiedBy>
  <cp:revision>3</cp:revision>
  <cp:lastPrinted>2025-03-28T00:10:00Z</cp:lastPrinted>
  <dcterms:created xsi:type="dcterms:W3CDTF">2025-03-28T01:29:00Z</dcterms:created>
  <dcterms:modified xsi:type="dcterms:W3CDTF">2025-03-28T01:30:00Z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Joint Standing Committee on Net Zero Future</vt:lpwstr>
  </property>
  <property fmtid="{D5CDD505-2E9C-101B-9397-08002B2CF9AE}" pid="3" name="ReportTitle">
    <vt:lpwstr>2024 Annual Report of the Net Zero Commission</vt:lpwstr>
  </property>
  <property fmtid="{D5CDD505-2E9C-101B-9397-08002B2CF9AE}" pid="4" name="ReportSubTitle">
    <vt:lpwstr/>
  </property>
  <property fmtid="{D5CDD505-2E9C-101B-9397-08002B2CF9AE}" pid="5" name="SecondReportSubTitle">
    <vt:lpwstr/>
  </property>
  <property fmtid="{D5CDD505-2E9C-101B-9397-08002B2CF9AE}" pid="6" name="ReportNumber">
    <vt:lpwstr>1</vt:lpwstr>
  </property>
  <property fmtid="{D5CDD505-2E9C-101B-9397-08002B2CF9AE}" pid="7" name="PublicationDate">
    <vt:lpwstr/>
  </property>
  <property fmtid="{D5CDD505-2E9C-101B-9397-08002B2CF9AE}" pid="8" name="ISBNNo">
    <vt:lpwstr>978-1-923392-90-8</vt:lpwstr>
  </property>
  <property fmtid="{D5CDD505-2E9C-101B-9397-08002B2CF9AE}" pid="9" name="EmailAddress">
    <vt:lpwstr>netzero@parliament.nsw.gov.au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28 March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2ef18eda-8029-4acf-8d92-b04c91be19d3</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921;#Joint Standing Committee on Net Zero Future|f99cacec-446e-4641-86f1-44e2ffbf5354</vt:lpwstr>
  </property>
  <property fmtid="{D5CDD505-2E9C-101B-9397-08002B2CF9AE}" pid="26" name="Committee Inquiry">
    <vt:lpwstr>948;#2024 Annual Report of the Net Zero Commission|60d5c52d-f4e3-4a01-be32-2b1b07736b57</vt:lpwstr>
  </property>
  <property fmtid="{D5CDD505-2E9C-101B-9397-08002B2CF9AE}" pid="27" name="Committee Type">
    <vt:lpwstr>3;#Standing|4baf3303-4601-4358-b961-bb801b7c4cb8</vt:lpwstr>
  </property>
</Properties>
</file>